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98A" w14:textId="77777777" w:rsidR="00780DC2" w:rsidRPr="00894293" w:rsidRDefault="00780DC2" w:rsidP="00780DC2">
      <w:pPr>
        <w:shd w:val="clear" w:color="auto" w:fill="FFFFFF"/>
        <w:ind w:right="429"/>
        <w:jc w:val="both"/>
        <w:rPr>
          <w:color w:val="000000"/>
          <w:spacing w:val="-1"/>
          <w:sz w:val="24"/>
          <w:szCs w:val="24"/>
          <w:lang w:val="en-US"/>
        </w:rPr>
      </w:pPr>
    </w:p>
    <w:p w14:paraId="53CAE269" w14:textId="77777777" w:rsidR="00780DC2" w:rsidRPr="00780DC2" w:rsidRDefault="00780DC2" w:rsidP="00780DC2">
      <w:pPr>
        <w:shd w:val="clear" w:color="auto" w:fill="FFFFFF"/>
        <w:ind w:right="429"/>
        <w:jc w:val="both"/>
        <w:rPr>
          <w:color w:val="000000"/>
          <w:spacing w:val="-1"/>
          <w:sz w:val="24"/>
          <w:szCs w:val="24"/>
          <w:lang w:val="mk-MK"/>
        </w:rPr>
      </w:pPr>
    </w:p>
    <w:p w14:paraId="3BFC935C" w14:textId="6BC08568" w:rsidR="00917021" w:rsidRDefault="006877FB" w:rsidP="006877FB">
      <w:pPr>
        <w:shd w:val="clear" w:color="auto" w:fill="FFFFFF"/>
        <w:ind w:right="429"/>
        <w:jc w:val="center"/>
        <w:rPr>
          <w:b/>
          <w:bCs/>
          <w:color w:val="000000"/>
          <w:spacing w:val="-1"/>
          <w:sz w:val="24"/>
          <w:szCs w:val="24"/>
          <w:lang w:val="mk-MK"/>
        </w:rPr>
      </w:pPr>
      <w:r w:rsidRPr="00C02312">
        <w:rPr>
          <w:b/>
          <w:bCs/>
          <w:color w:val="000000"/>
          <w:spacing w:val="-1"/>
          <w:sz w:val="24"/>
          <w:szCs w:val="24"/>
          <w:lang w:val="mk-MK"/>
        </w:rPr>
        <w:t xml:space="preserve">РЕГУЛАТИВА </w:t>
      </w:r>
      <w:r w:rsidR="00917021">
        <w:rPr>
          <w:b/>
          <w:bCs/>
          <w:color w:val="000000"/>
          <w:spacing w:val="-1"/>
          <w:sz w:val="24"/>
          <w:szCs w:val="24"/>
          <w:lang w:val="mk-MK"/>
        </w:rPr>
        <w:t xml:space="preserve">ЗА СПРОВЕДУВАЊЕ </w:t>
      </w:r>
      <w:r w:rsidRPr="00C02312">
        <w:rPr>
          <w:b/>
          <w:bCs/>
          <w:color w:val="000000"/>
          <w:spacing w:val="-1"/>
          <w:sz w:val="24"/>
          <w:szCs w:val="24"/>
          <w:lang w:val="mk-MK"/>
        </w:rPr>
        <w:t>(ЕУ) Бр. 201</w:t>
      </w:r>
      <w:r w:rsidR="00917021">
        <w:rPr>
          <w:b/>
          <w:bCs/>
          <w:color w:val="000000"/>
          <w:spacing w:val="-1"/>
          <w:sz w:val="24"/>
          <w:szCs w:val="24"/>
          <w:lang w:val="mk-MK"/>
        </w:rPr>
        <w:t>9</w:t>
      </w:r>
      <w:r>
        <w:rPr>
          <w:b/>
          <w:bCs/>
          <w:color w:val="000000"/>
          <w:spacing w:val="-1"/>
          <w:sz w:val="24"/>
          <w:szCs w:val="24"/>
          <w:lang w:val="mk-MK"/>
        </w:rPr>
        <w:t>/1</w:t>
      </w:r>
      <w:r w:rsidR="00917021">
        <w:rPr>
          <w:b/>
          <w:bCs/>
          <w:color w:val="000000"/>
          <w:spacing w:val="-1"/>
          <w:sz w:val="24"/>
          <w:szCs w:val="24"/>
          <w:lang w:val="mk-MK"/>
        </w:rPr>
        <w:t>33</w:t>
      </w:r>
    </w:p>
    <w:p w14:paraId="220E4F11" w14:textId="63ADF847" w:rsidR="006877FB" w:rsidRPr="00C02312" w:rsidRDefault="006877FB" w:rsidP="006877FB">
      <w:pPr>
        <w:shd w:val="clear" w:color="auto" w:fill="FFFFFF"/>
        <w:ind w:right="429"/>
        <w:jc w:val="center"/>
        <w:rPr>
          <w:b/>
          <w:bCs/>
          <w:color w:val="000000"/>
          <w:spacing w:val="-1"/>
          <w:sz w:val="24"/>
          <w:szCs w:val="24"/>
          <w:lang w:val="mk-MK"/>
        </w:rPr>
      </w:pPr>
      <w:r>
        <w:rPr>
          <w:b/>
          <w:bCs/>
          <w:color w:val="000000"/>
          <w:spacing w:val="-1"/>
          <w:sz w:val="24"/>
          <w:szCs w:val="24"/>
          <w:lang w:val="mk-MK"/>
        </w:rPr>
        <w:t>на КОМИСИЈАТА</w:t>
      </w:r>
    </w:p>
    <w:p w14:paraId="19FBFA72" w14:textId="77777777" w:rsidR="006877FB" w:rsidRPr="00C02312" w:rsidRDefault="006877FB" w:rsidP="006877FB">
      <w:pPr>
        <w:shd w:val="clear" w:color="auto" w:fill="FFFFFF"/>
        <w:ind w:right="429"/>
        <w:jc w:val="center"/>
        <w:rPr>
          <w:bCs/>
          <w:color w:val="000000"/>
          <w:spacing w:val="-1"/>
          <w:sz w:val="24"/>
          <w:szCs w:val="24"/>
          <w:lang w:val="mk-MK"/>
        </w:rPr>
      </w:pPr>
    </w:p>
    <w:p w14:paraId="72C3B4E3" w14:textId="1E308421" w:rsidR="006877FB" w:rsidRPr="00C02312" w:rsidRDefault="006877FB" w:rsidP="006877FB">
      <w:pPr>
        <w:shd w:val="clear" w:color="auto" w:fill="FFFFFF"/>
        <w:ind w:right="429"/>
        <w:jc w:val="center"/>
        <w:rPr>
          <w:b/>
          <w:bCs/>
          <w:color w:val="000000"/>
          <w:sz w:val="24"/>
          <w:szCs w:val="24"/>
          <w:lang w:val="mk-MK"/>
        </w:rPr>
      </w:pPr>
      <w:r w:rsidRPr="00C02312">
        <w:rPr>
          <w:b/>
          <w:bCs/>
          <w:color w:val="000000"/>
          <w:sz w:val="24"/>
          <w:szCs w:val="24"/>
          <w:lang w:val="mk-MK"/>
        </w:rPr>
        <w:t xml:space="preserve">од </w:t>
      </w:r>
      <w:r w:rsidR="00F4234A">
        <w:rPr>
          <w:b/>
          <w:bCs/>
          <w:color w:val="000000"/>
          <w:sz w:val="24"/>
          <w:szCs w:val="24"/>
          <w:lang w:val="mk-MK"/>
        </w:rPr>
        <w:t xml:space="preserve">28 јануари 2019 </w:t>
      </w:r>
      <w:r w:rsidRPr="00C02312">
        <w:rPr>
          <w:b/>
          <w:bCs/>
          <w:color w:val="000000"/>
          <w:sz w:val="24"/>
          <w:szCs w:val="24"/>
          <w:lang w:val="mk-MK"/>
        </w:rPr>
        <w:t>година,</w:t>
      </w:r>
    </w:p>
    <w:p w14:paraId="58FF619F" w14:textId="77777777" w:rsidR="006877FB" w:rsidRPr="00C02312" w:rsidRDefault="006877FB" w:rsidP="006877FB">
      <w:pPr>
        <w:shd w:val="clear" w:color="auto" w:fill="FFFFFF"/>
        <w:ind w:right="429"/>
        <w:jc w:val="center"/>
        <w:rPr>
          <w:sz w:val="24"/>
          <w:szCs w:val="24"/>
          <w:lang w:val="mk-MK"/>
        </w:rPr>
      </w:pPr>
    </w:p>
    <w:p w14:paraId="58510606" w14:textId="2FB78B79" w:rsidR="006877FB" w:rsidRDefault="006877FB" w:rsidP="006877FB">
      <w:pPr>
        <w:shd w:val="clear" w:color="auto" w:fill="FFFFFF"/>
        <w:ind w:right="429"/>
        <w:jc w:val="center"/>
        <w:rPr>
          <w:b/>
          <w:bCs/>
          <w:color w:val="000000"/>
          <w:spacing w:val="2"/>
          <w:sz w:val="24"/>
          <w:szCs w:val="24"/>
          <w:lang w:val="mk-MK"/>
        </w:rPr>
      </w:pPr>
      <w:r w:rsidRPr="00C02312">
        <w:rPr>
          <w:b/>
          <w:bCs/>
          <w:color w:val="000000"/>
          <w:spacing w:val="2"/>
          <w:sz w:val="24"/>
          <w:szCs w:val="24"/>
          <w:lang w:val="mk-MK"/>
        </w:rPr>
        <w:t>со која се изменува и дополнува Регулатива (Е</w:t>
      </w:r>
      <w:r>
        <w:rPr>
          <w:b/>
          <w:bCs/>
          <w:color w:val="000000"/>
          <w:spacing w:val="2"/>
          <w:sz w:val="24"/>
          <w:szCs w:val="24"/>
          <w:lang w:val="mk-MK"/>
        </w:rPr>
        <w:t>У</w:t>
      </w:r>
      <w:r w:rsidRPr="00C02312">
        <w:rPr>
          <w:b/>
          <w:bCs/>
          <w:color w:val="000000"/>
          <w:spacing w:val="2"/>
          <w:sz w:val="24"/>
          <w:szCs w:val="24"/>
          <w:lang w:val="mk-MK"/>
        </w:rPr>
        <w:t xml:space="preserve">) бр. </w:t>
      </w:r>
      <w:r w:rsidR="00F4234A">
        <w:rPr>
          <w:b/>
          <w:bCs/>
          <w:color w:val="000000"/>
          <w:spacing w:val="2"/>
          <w:sz w:val="24"/>
          <w:szCs w:val="24"/>
          <w:lang w:val="mk-MK"/>
        </w:rPr>
        <w:t xml:space="preserve">2015/640, </w:t>
      </w:r>
    </w:p>
    <w:p w14:paraId="1878B258" w14:textId="77777777" w:rsidR="00F4234A" w:rsidRDefault="006877FB" w:rsidP="006877FB">
      <w:pPr>
        <w:shd w:val="clear" w:color="auto" w:fill="FFFFFF"/>
        <w:ind w:right="429"/>
        <w:jc w:val="center"/>
        <w:rPr>
          <w:b/>
          <w:bCs/>
          <w:color w:val="000000"/>
          <w:spacing w:val="2"/>
          <w:sz w:val="24"/>
          <w:szCs w:val="24"/>
          <w:lang w:val="mk-MK"/>
        </w:rPr>
      </w:pPr>
      <w:r>
        <w:rPr>
          <w:b/>
          <w:bCs/>
          <w:color w:val="000000"/>
          <w:spacing w:val="2"/>
          <w:sz w:val="24"/>
          <w:szCs w:val="24"/>
          <w:lang w:val="mk-MK"/>
        </w:rPr>
        <w:t xml:space="preserve">во врска со </w:t>
      </w:r>
      <w:r w:rsidR="00F4234A">
        <w:rPr>
          <w:b/>
          <w:bCs/>
          <w:color w:val="000000"/>
          <w:spacing w:val="2"/>
          <w:sz w:val="24"/>
          <w:szCs w:val="24"/>
          <w:lang w:val="mk-MK"/>
        </w:rPr>
        <w:t>воведувањето на нови</w:t>
      </w:r>
    </w:p>
    <w:p w14:paraId="3760F849" w14:textId="7FBAE732" w:rsidR="00F4234A" w:rsidRDefault="00F4234A" w:rsidP="00F4234A">
      <w:pPr>
        <w:shd w:val="clear" w:color="auto" w:fill="FFFFFF"/>
        <w:ind w:right="429"/>
        <w:jc w:val="center"/>
        <w:rPr>
          <w:b/>
          <w:bCs/>
          <w:color w:val="000000"/>
          <w:spacing w:val="2"/>
          <w:sz w:val="24"/>
          <w:szCs w:val="24"/>
          <w:lang w:val="mk-MK"/>
        </w:rPr>
      </w:pPr>
      <w:r>
        <w:rPr>
          <w:b/>
          <w:bCs/>
          <w:color w:val="000000"/>
          <w:spacing w:val="2"/>
          <w:sz w:val="24"/>
          <w:szCs w:val="24"/>
          <w:lang w:val="mk-MK"/>
        </w:rPr>
        <w:t>дополнителни спецификации за пловидбеност</w:t>
      </w:r>
    </w:p>
    <w:p w14:paraId="1312CAD3" w14:textId="2B20EFE6" w:rsidR="006877FB" w:rsidRPr="00F4234A" w:rsidRDefault="006877FB" w:rsidP="00F4234A">
      <w:pPr>
        <w:shd w:val="clear" w:color="auto" w:fill="FFFFFF"/>
        <w:ind w:right="429"/>
        <w:jc w:val="both"/>
        <w:rPr>
          <w:color w:val="000000"/>
          <w:spacing w:val="2"/>
          <w:sz w:val="24"/>
          <w:szCs w:val="24"/>
          <w:lang w:val="mk-MK"/>
        </w:rPr>
      </w:pPr>
    </w:p>
    <w:p w14:paraId="52FBB57A" w14:textId="77777777" w:rsidR="006877FB" w:rsidRPr="009F67E0" w:rsidRDefault="006877FB" w:rsidP="006877FB">
      <w:pPr>
        <w:shd w:val="clear" w:color="auto" w:fill="FFFFFF"/>
        <w:ind w:right="429"/>
        <w:jc w:val="both"/>
        <w:rPr>
          <w:bCs/>
          <w:sz w:val="24"/>
          <w:szCs w:val="24"/>
          <w:lang w:val="mk-MK"/>
        </w:rPr>
      </w:pPr>
    </w:p>
    <w:p w14:paraId="58622BE5" w14:textId="77777777" w:rsidR="006877FB" w:rsidRDefault="006877FB" w:rsidP="006877FB">
      <w:pPr>
        <w:shd w:val="clear" w:color="auto" w:fill="FFFFFF"/>
        <w:ind w:right="429"/>
        <w:jc w:val="both"/>
        <w:rPr>
          <w:color w:val="000000"/>
          <w:spacing w:val="4"/>
          <w:sz w:val="24"/>
          <w:szCs w:val="24"/>
          <w:lang w:val="mk-MK"/>
        </w:rPr>
      </w:pPr>
    </w:p>
    <w:p w14:paraId="493AC948" w14:textId="77777777" w:rsidR="006877FB" w:rsidRPr="00C85F2F" w:rsidRDefault="006877FB" w:rsidP="006877FB">
      <w:pPr>
        <w:pStyle w:val="NormalWeb"/>
        <w:spacing w:before="0" w:beforeAutospacing="0" w:after="0" w:afterAutospacing="0"/>
        <w:ind w:right="429"/>
        <w:rPr>
          <w:lang w:val="ru-RU"/>
        </w:rPr>
      </w:pPr>
      <w:r w:rsidRPr="00DF1038">
        <w:rPr>
          <w:lang w:val="mk-MK"/>
        </w:rPr>
        <w:t>ЕВРОПСК</w:t>
      </w:r>
      <w:r>
        <w:rPr>
          <w:lang w:val="mk-MK"/>
        </w:rPr>
        <w:t>АТА КОМИСИЈА</w:t>
      </w:r>
      <w:r w:rsidRPr="00DF1038">
        <w:rPr>
          <w:lang w:val="mk-MK"/>
        </w:rPr>
        <w:t>,</w:t>
      </w:r>
    </w:p>
    <w:p w14:paraId="6F48A7DE" w14:textId="77777777" w:rsidR="006877FB" w:rsidRDefault="006877FB" w:rsidP="006877FB">
      <w:pPr>
        <w:pStyle w:val="NormalWeb"/>
        <w:spacing w:before="0" w:beforeAutospacing="0" w:after="0" w:afterAutospacing="0"/>
        <w:ind w:right="429"/>
        <w:rPr>
          <w:lang w:val="en-US"/>
        </w:rPr>
      </w:pPr>
    </w:p>
    <w:p w14:paraId="515CF23F" w14:textId="77777777" w:rsidR="006877FB" w:rsidRPr="00C85F2F" w:rsidRDefault="006877FB" w:rsidP="006877FB">
      <w:pPr>
        <w:pStyle w:val="NormalWeb"/>
        <w:spacing w:before="0" w:beforeAutospacing="0" w:after="0" w:afterAutospacing="0"/>
        <w:ind w:right="429"/>
        <w:jc w:val="both"/>
        <w:rPr>
          <w:lang w:val="ru-RU"/>
        </w:rPr>
      </w:pPr>
      <w:r>
        <w:rPr>
          <w:lang w:val="mk-MK"/>
        </w:rPr>
        <w:t>и</w:t>
      </w:r>
      <w:r w:rsidRPr="000F2E90">
        <w:rPr>
          <w:lang w:val="mk-MK"/>
        </w:rPr>
        <w:t xml:space="preserve">мајќи го предвид Договорот за </w:t>
      </w:r>
      <w:r>
        <w:rPr>
          <w:lang w:val="mk-MK"/>
        </w:rPr>
        <w:t xml:space="preserve">функционирањето </w:t>
      </w:r>
      <w:r w:rsidRPr="000F2E90">
        <w:rPr>
          <w:lang w:val="mk-MK"/>
        </w:rPr>
        <w:t xml:space="preserve">на Европската </w:t>
      </w:r>
      <w:r>
        <w:rPr>
          <w:lang w:val="mk-MK"/>
        </w:rPr>
        <w:t>унија,</w:t>
      </w:r>
    </w:p>
    <w:p w14:paraId="75C64BCD" w14:textId="77777777" w:rsidR="006877FB" w:rsidRDefault="006877FB" w:rsidP="006877FB">
      <w:pPr>
        <w:pStyle w:val="NormalWeb"/>
        <w:spacing w:before="0" w:beforeAutospacing="0" w:after="0" w:afterAutospacing="0"/>
        <w:ind w:right="429"/>
        <w:jc w:val="both"/>
        <w:rPr>
          <w:lang w:val="en-US"/>
        </w:rPr>
      </w:pPr>
    </w:p>
    <w:p w14:paraId="5356ED69" w14:textId="4AD33678" w:rsidR="006877FB" w:rsidRPr="00C85F2F" w:rsidRDefault="006877FB" w:rsidP="006877FB">
      <w:pPr>
        <w:pStyle w:val="NormalWeb"/>
        <w:spacing w:before="0" w:beforeAutospacing="0" w:after="0" w:afterAutospacing="0"/>
        <w:ind w:right="429"/>
        <w:jc w:val="both"/>
        <w:rPr>
          <w:lang w:val="ru-RU"/>
        </w:rPr>
      </w:pPr>
      <w:r w:rsidRPr="000F2E90">
        <w:rPr>
          <w:lang w:val="mk-MK"/>
        </w:rPr>
        <w:t xml:space="preserve">имајќи </w:t>
      </w:r>
      <w:r>
        <w:rPr>
          <w:lang w:val="mk-MK"/>
        </w:rPr>
        <w:t xml:space="preserve">ја </w:t>
      </w:r>
      <w:r w:rsidRPr="000F2E90">
        <w:rPr>
          <w:lang w:val="mk-MK"/>
        </w:rPr>
        <w:t xml:space="preserve">предвид </w:t>
      </w:r>
      <w:r>
        <w:rPr>
          <w:lang w:val="mk-MK"/>
        </w:rPr>
        <w:t>Регулатива</w:t>
      </w:r>
      <w:r w:rsidR="00780DC2">
        <w:rPr>
          <w:lang w:val="mk-MK"/>
        </w:rPr>
        <w:t>та</w:t>
      </w:r>
      <w:r>
        <w:rPr>
          <w:lang w:val="mk-MK"/>
        </w:rPr>
        <w:t xml:space="preserve"> (Е</w:t>
      </w:r>
      <w:r w:rsidR="00081044">
        <w:rPr>
          <w:lang w:val="mk-MK"/>
        </w:rPr>
        <w:t>У</w:t>
      </w:r>
      <w:r>
        <w:rPr>
          <w:lang w:val="mk-MK"/>
        </w:rPr>
        <w:t xml:space="preserve">) бр. </w:t>
      </w:r>
      <w:r w:rsidR="00081044">
        <w:rPr>
          <w:lang w:val="mk-MK"/>
        </w:rPr>
        <w:t xml:space="preserve">2018/1139 </w:t>
      </w:r>
      <w:r>
        <w:rPr>
          <w:lang w:val="mk-MK"/>
        </w:rPr>
        <w:t xml:space="preserve">на Европскиот парламент и на Советот од </w:t>
      </w:r>
      <w:r w:rsidR="00081044">
        <w:rPr>
          <w:lang w:val="mk-MK"/>
        </w:rPr>
        <w:t xml:space="preserve">4 јули 2018 </w:t>
      </w:r>
      <w:r>
        <w:rPr>
          <w:lang w:val="mk-MK"/>
        </w:rPr>
        <w:t xml:space="preserve">година, за заеднички правила во областа на цивилното воздухопловство и за основање на </w:t>
      </w:r>
      <w:r w:rsidR="00004B4A">
        <w:rPr>
          <w:lang w:val="mk-MK"/>
        </w:rPr>
        <w:t>Агенција на Европската Унија</w:t>
      </w:r>
      <w:r>
        <w:rPr>
          <w:lang w:val="mk-MK"/>
        </w:rPr>
        <w:t xml:space="preserve"> за безбедност на воздухопловството, и за укинување на Регулатива</w:t>
      </w:r>
      <w:r w:rsidR="006F547E">
        <w:rPr>
          <w:lang w:val="mk-MK"/>
        </w:rPr>
        <w:t>та</w:t>
      </w:r>
      <w:r>
        <w:rPr>
          <w:lang w:val="mk-MK"/>
        </w:rPr>
        <w:t xml:space="preserve"> (ЕЗ) бр. </w:t>
      </w:r>
      <w:r w:rsidR="00884184">
        <w:rPr>
          <w:lang w:val="mk-MK"/>
        </w:rPr>
        <w:t xml:space="preserve">216/2008 </w:t>
      </w:r>
      <w:r>
        <w:rPr>
          <w:lang w:val="mk-MK"/>
        </w:rPr>
        <w:t>(</w:t>
      </w:r>
      <w:r>
        <w:rPr>
          <w:rStyle w:val="FootnoteReference"/>
          <w:lang w:val="mk-MK"/>
        </w:rPr>
        <w:footnoteReference w:id="1"/>
      </w:r>
      <w:r>
        <w:rPr>
          <w:lang w:val="mk-MK"/>
        </w:rPr>
        <w:t xml:space="preserve">), </w:t>
      </w:r>
      <w:r w:rsidR="006F547E">
        <w:rPr>
          <w:lang w:val="mk-MK"/>
        </w:rPr>
        <w:t>а</w:t>
      </w:r>
      <w:r>
        <w:rPr>
          <w:lang w:val="mk-MK"/>
        </w:rPr>
        <w:t xml:space="preserve"> особено член </w:t>
      </w:r>
      <w:r w:rsidR="00884184">
        <w:rPr>
          <w:lang w:val="mk-MK"/>
        </w:rPr>
        <w:t xml:space="preserve">17(1)(ж) од </w:t>
      </w:r>
      <w:r>
        <w:rPr>
          <w:lang w:val="mk-MK"/>
        </w:rPr>
        <w:t xml:space="preserve">истата, </w:t>
      </w:r>
    </w:p>
    <w:p w14:paraId="48DEAB63" w14:textId="77777777" w:rsidR="006877FB" w:rsidRDefault="006877FB" w:rsidP="006877FB">
      <w:pPr>
        <w:pStyle w:val="NormalWeb"/>
        <w:spacing w:before="0" w:beforeAutospacing="0" w:after="0" w:afterAutospacing="0"/>
        <w:ind w:right="429"/>
        <w:jc w:val="both"/>
        <w:rPr>
          <w:lang w:val="en-US"/>
        </w:rPr>
      </w:pPr>
    </w:p>
    <w:p w14:paraId="2161D16E" w14:textId="77777777" w:rsidR="006877FB" w:rsidRDefault="006877FB" w:rsidP="006877FB">
      <w:pPr>
        <w:pStyle w:val="NormalWeb"/>
        <w:spacing w:before="0" w:beforeAutospacing="0" w:after="0" w:afterAutospacing="0"/>
        <w:ind w:right="429"/>
        <w:jc w:val="both"/>
        <w:rPr>
          <w:lang w:val="mk-MK"/>
        </w:rPr>
      </w:pPr>
    </w:p>
    <w:p w14:paraId="40AC21FB" w14:textId="77777777" w:rsidR="006877FB" w:rsidRPr="00B7762D" w:rsidRDefault="006877FB" w:rsidP="006877FB">
      <w:pPr>
        <w:pStyle w:val="NormalWeb"/>
        <w:spacing w:before="0" w:beforeAutospacing="0" w:after="0" w:afterAutospacing="0"/>
        <w:ind w:right="429"/>
        <w:jc w:val="both"/>
        <w:rPr>
          <w:lang w:val="ru-RU"/>
        </w:rPr>
      </w:pPr>
      <w:r>
        <w:rPr>
          <w:lang w:val="mk-MK"/>
        </w:rPr>
        <w:t>с</w:t>
      </w:r>
      <w:r w:rsidRPr="000F2E90">
        <w:rPr>
          <w:lang w:val="mk-MK"/>
        </w:rPr>
        <w:t>о оглед на тоа што:</w:t>
      </w:r>
    </w:p>
    <w:p w14:paraId="26A07CCB" w14:textId="77777777" w:rsidR="006877FB" w:rsidRDefault="006877FB" w:rsidP="006877FB">
      <w:pPr>
        <w:pStyle w:val="NormalWeb"/>
        <w:spacing w:before="0" w:beforeAutospacing="0" w:after="0" w:afterAutospacing="0"/>
        <w:ind w:right="429"/>
        <w:jc w:val="both"/>
        <w:rPr>
          <w:lang w:val="en-US"/>
        </w:rPr>
      </w:pPr>
    </w:p>
    <w:p w14:paraId="75E02CB8" w14:textId="0453ECB2" w:rsidR="006877FB" w:rsidRPr="003A526D" w:rsidRDefault="006877FB" w:rsidP="006877FB">
      <w:pPr>
        <w:pStyle w:val="NormalWeb"/>
        <w:tabs>
          <w:tab w:val="left" w:pos="426"/>
        </w:tabs>
        <w:spacing w:before="0" w:beforeAutospacing="0" w:after="0" w:afterAutospacing="0"/>
        <w:ind w:left="426" w:right="429" w:hanging="426"/>
        <w:jc w:val="both"/>
        <w:rPr>
          <w:lang w:val="ru-RU"/>
        </w:rPr>
      </w:pPr>
      <w:r w:rsidRPr="003A526D">
        <w:rPr>
          <w:lang w:val="mk-MK"/>
        </w:rPr>
        <w:t>(1)</w:t>
      </w:r>
      <w:r w:rsidRPr="003A526D">
        <w:rPr>
          <w:lang w:val="mk-MK"/>
        </w:rPr>
        <w:tab/>
      </w:r>
      <w:r>
        <w:rPr>
          <w:lang w:val="mk-MK"/>
        </w:rPr>
        <w:t>Во</w:t>
      </w:r>
      <w:r w:rsidRPr="003A526D">
        <w:rPr>
          <w:lang w:val="mk-MK"/>
        </w:rPr>
        <w:t xml:space="preserve"> Регулатива (ЕУ) бр. </w:t>
      </w:r>
      <w:r w:rsidR="00884184">
        <w:rPr>
          <w:lang w:val="mk-MK"/>
        </w:rPr>
        <w:t xml:space="preserve">2015/640 </w:t>
      </w:r>
      <w:r w:rsidRPr="003A526D">
        <w:rPr>
          <w:lang w:val="mk-MK"/>
        </w:rPr>
        <w:t>на Комисијата (</w:t>
      </w:r>
      <w:r w:rsidRPr="003A526D">
        <w:rPr>
          <w:rStyle w:val="FootnoteReference"/>
          <w:lang w:val="mk-MK"/>
        </w:rPr>
        <w:footnoteReference w:id="2"/>
      </w:r>
      <w:r w:rsidRPr="003A526D">
        <w:rPr>
          <w:lang w:val="mk-MK"/>
        </w:rPr>
        <w:t>), се наведува</w:t>
      </w:r>
      <w:r w:rsidR="00CE3162">
        <w:rPr>
          <w:lang w:val="mk-MK"/>
        </w:rPr>
        <w:t>ат дополнителни услови за пловидбеност на в</w:t>
      </w:r>
      <w:r w:rsidRPr="003A526D">
        <w:rPr>
          <w:lang w:val="mk-MK"/>
        </w:rPr>
        <w:t>оздухоплови</w:t>
      </w:r>
      <w:r w:rsidR="00CE3162">
        <w:rPr>
          <w:lang w:val="mk-MK"/>
        </w:rPr>
        <w:t xml:space="preserve">те, </w:t>
      </w:r>
      <w:r w:rsidR="00BD6E41">
        <w:rPr>
          <w:lang w:val="mk-MK"/>
        </w:rPr>
        <w:t>за чии проект</w:t>
      </w:r>
      <w:r w:rsidR="006F547E">
        <w:rPr>
          <w:lang w:val="mk-MK"/>
        </w:rPr>
        <w:t>и</w:t>
      </w:r>
      <w:r w:rsidR="00BD6E41">
        <w:rPr>
          <w:lang w:val="mk-MK"/>
        </w:rPr>
        <w:t xml:space="preserve"> веќе има </w:t>
      </w:r>
      <w:r w:rsidR="006F547E">
        <w:rPr>
          <w:lang w:val="mk-MK"/>
        </w:rPr>
        <w:t>издадени уверенија</w:t>
      </w:r>
      <w:r w:rsidR="00BD6E41">
        <w:rPr>
          <w:lang w:val="mk-MK"/>
        </w:rPr>
        <w:t xml:space="preserve">. Овие дополнителни услови за пловидбеност се потребни за поткрепа на континуираната пловидбеност и за подобрување на безбедноста. Имено, кога Агенцијата на Европската </w:t>
      </w:r>
      <w:r w:rsidR="00004B4A">
        <w:rPr>
          <w:lang w:val="mk-MK"/>
        </w:rPr>
        <w:t>У</w:t>
      </w:r>
      <w:r w:rsidR="00BD6E41">
        <w:rPr>
          <w:lang w:val="mk-MK"/>
        </w:rPr>
        <w:t>нија за безбедност на воздухопловството („Агенцијата“) ги ажурира спецификациите за издавање на уверение („</w:t>
      </w:r>
      <w:r w:rsidR="00BD6E41">
        <w:rPr>
          <w:lang w:val="en-US"/>
        </w:rPr>
        <w:t>CS</w:t>
      </w:r>
      <w:r w:rsidR="00BD6E41">
        <w:rPr>
          <w:lang w:val="mk-MK"/>
        </w:rPr>
        <w:t xml:space="preserve">“), кои таа ги издала согласно член 76(3) од </w:t>
      </w:r>
      <w:r w:rsidRPr="003A526D">
        <w:rPr>
          <w:lang w:val="mk-MK"/>
        </w:rPr>
        <w:t>Регулатива (Е</w:t>
      </w:r>
      <w:r w:rsidR="00BD6E41">
        <w:rPr>
          <w:lang w:val="mk-MK"/>
        </w:rPr>
        <w:t>У</w:t>
      </w:r>
      <w:r w:rsidRPr="003A526D">
        <w:rPr>
          <w:lang w:val="mk-MK"/>
        </w:rPr>
        <w:t>) бр. 2</w:t>
      </w:r>
      <w:r w:rsidR="00BD6E41">
        <w:rPr>
          <w:lang w:val="mk-MK"/>
        </w:rPr>
        <w:t xml:space="preserve">018/1139, со цел </w:t>
      </w:r>
      <w:r w:rsidR="00BD6E41">
        <w:rPr>
          <w:lang w:val="en-US"/>
        </w:rPr>
        <w:t>CS</w:t>
      </w:r>
      <w:r w:rsidR="00BD6E41">
        <w:rPr>
          <w:lang w:val="mk-MK"/>
        </w:rPr>
        <w:t xml:space="preserve"> и понатака </w:t>
      </w:r>
      <w:r w:rsidR="006F547E">
        <w:rPr>
          <w:lang w:val="mk-MK"/>
        </w:rPr>
        <w:t xml:space="preserve">да </w:t>
      </w:r>
      <w:r w:rsidR="00BD6E41">
        <w:rPr>
          <w:lang w:val="mk-MK"/>
        </w:rPr>
        <w:t xml:space="preserve">се </w:t>
      </w:r>
      <w:r w:rsidR="00F26FB2">
        <w:rPr>
          <w:lang w:val="mk-MK"/>
        </w:rPr>
        <w:t xml:space="preserve">соодветни за </w:t>
      </w:r>
      <w:r w:rsidR="008F6D49">
        <w:rPr>
          <w:lang w:val="mk-MK"/>
        </w:rPr>
        <w:t xml:space="preserve">својата </w:t>
      </w:r>
      <w:r w:rsidR="00F26FB2">
        <w:rPr>
          <w:lang w:val="mk-MK"/>
        </w:rPr>
        <w:t>намена</w:t>
      </w:r>
      <w:r w:rsidR="008F6D49">
        <w:rPr>
          <w:lang w:val="mk-MK"/>
        </w:rPr>
        <w:t xml:space="preserve">, од воздухоплов, за чии проект веќе постои </w:t>
      </w:r>
      <w:r w:rsidR="006F547E">
        <w:rPr>
          <w:lang w:val="mk-MK"/>
        </w:rPr>
        <w:t>уверение</w:t>
      </w:r>
      <w:r w:rsidR="008F6D49">
        <w:rPr>
          <w:lang w:val="mk-MK"/>
        </w:rPr>
        <w:t xml:space="preserve">, нема да се бара да се придржува кон ажурираната верзија на </w:t>
      </w:r>
      <w:r w:rsidR="008F6D49">
        <w:rPr>
          <w:lang w:val="en-US"/>
        </w:rPr>
        <w:t>CS</w:t>
      </w:r>
      <w:r w:rsidR="008F6D49">
        <w:rPr>
          <w:lang w:val="mk-MK"/>
        </w:rPr>
        <w:t xml:space="preserve">, ако </w:t>
      </w:r>
      <w:r w:rsidR="006F547E">
        <w:rPr>
          <w:lang w:val="mk-MK"/>
        </w:rPr>
        <w:t xml:space="preserve">е во </w:t>
      </w:r>
      <w:r w:rsidR="008F6D49">
        <w:rPr>
          <w:lang w:val="mk-MK"/>
        </w:rPr>
        <w:t>произв</w:t>
      </w:r>
      <w:r w:rsidR="006F547E">
        <w:rPr>
          <w:lang w:val="mk-MK"/>
        </w:rPr>
        <w:t xml:space="preserve">одство </w:t>
      </w:r>
      <w:r w:rsidR="008F6D49">
        <w:rPr>
          <w:lang w:val="mk-MK"/>
        </w:rPr>
        <w:t>или ако се користи.</w:t>
      </w:r>
      <w:r w:rsidRPr="003A526D">
        <w:rPr>
          <w:lang w:val="mk-MK"/>
        </w:rPr>
        <w:t xml:space="preserve"> </w:t>
      </w:r>
    </w:p>
    <w:p w14:paraId="342078CB" w14:textId="1A1688E3" w:rsidR="006877FB" w:rsidRPr="00586210" w:rsidRDefault="006877FB" w:rsidP="00586210">
      <w:pPr>
        <w:pStyle w:val="NormalWeb"/>
        <w:spacing w:before="0" w:beforeAutospacing="0" w:after="0" w:afterAutospacing="0"/>
        <w:ind w:right="429"/>
        <w:jc w:val="both"/>
        <w:rPr>
          <w:lang w:val="mk-MK"/>
        </w:rPr>
      </w:pPr>
    </w:p>
    <w:p w14:paraId="300BE232" w14:textId="0BF11AEB" w:rsidR="008B5DFA" w:rsidRPr="00936BEB" w:rsidRDefault="006877FB" w:rsidP="006877FB">
      <w:pPr>
        <w:pStyle w:val="NormalWeb"/>
        <w:tabs>
          <w:tab w:val="left" w:pos="426"/>
        </w:tabs>
        <w:spacing w:before="0" w:beforeAutospacing="0" w:after="0" w:afterAutospacing="0"/>
        <w:ind w:left="426" w:right="429" w:hanging="426"/>
        <w:jc w:val="both"/>
        <w:rPr>
          <w:lang w:val="mk-MK"/>
        </w:rPr>
      </w:pPr>
      <w:r w:rsidRPr="00FE4F0C">
        <w:rPr>
          <w:lang w:val="mk-MK"/>
        </w:rPr>
        <w:t>(2)</w:t>
      </w:r>
      <w:r>
        <w:rPr>
          <w:lang w:val="mk-MK"/>
        </w:rPr>
        <w:tab/>
      </w:r>
      <w:r w:rsidR="00D07284">
        <w:rPr>
          <w:lang w:val="mk-MK"/>
        </w:rPr>
        <w:t>Со цел</w:t>
      </w:r>
      <w:r w:rsidR="006F547E">
        <w:rPr>
          <w:lang w:val="mk-MK"/>
        </w:rPr>
        <w:t>,</w:t>
      </w:r>
      <w:r w:rsidR="00D07284">
        <w:rPr>
          <w:lang w:val="mk-MK"/>
        </w:rPr>
        <w:t xml:space="preserve"> во Европа </w:t>
      </w:r>
      <w:r w:rsidR="00D71707">
        <w:rPr>
          <w:lang w:val="mk-MK"/>
        </w:rPr>
        <w:t xml:space="preserve">да се одржи високо ниво на безбедност на воздухопловството и </w:t>
      </w:r>
      <w:r w:rsidR="00633D34">
        <w:rPr>
          <w:lang w:val="mk-MK"/>
        </w:rPr>
        <w:t xml:space="preserve">на </w:t>
      </w:r>
      <w:r w:rsidR="00D71707">
        <w:rPr>
          <w:lang w:val="mk-MK"/>
        </w:rPr>
        <w:t xml:space="preserve">условите за заштита на </w:t>
      </w:r>
      <w:r w:rsidR="00D07284">
        <w:rPr>
          <w:lang w:val="mk-MK"/>
        </w:rPr>
        <w:t xml:space="preserve">животната </w:t>
      </w:r>
      <w:r w:rsidR="00D71707">
        <w:rPr>
          <w:lang w:val="mk-MK"/>
        </w:rPr>
        <w:t>средина</w:t>
      </w:r>
      <w:r w:rsidR="0097508E">
        <w:rPr>
          <w:lang w:val="mk-MK"/>
        </w:rPr>
        <w:t xml:space="preserve">, можеби ќе </w:t>
      </w:r>
      <w:r w:rsidR="00D746D7">
        <w:rPr>
          <w:lang w:val="mk-MK"/>
        </w:rPr>
        <w:t>има потреба</w:t>
      </w:r>
      <w:r w:rsidR="00DA6FAB">
        <w:rPr>
          <w:lang w:val="mk-MK"/>
        </w:rPr>
        <w:t xml:space="preserve"> </w:t>
      </w:r>
      <w:r w:rsidR="00635EDB">
        <w:rPr>
          <w:lang w:val="mk-MK"/>
        </w:rPr>
        <w:t xml:space="preserve">на </w:t>
      </w:r>
      <w:r w:rsidR="00DA6FAB">
        <w:rPr>
          <w:lang w:val="mk-MK"/>
        </w:rPr>
        <w:t xml:space="preserve">воздухопловите да </w:t>
      </w:r>
      <w:r w:rsidR="00635EDB">
        <w:rPr>
          <w:lang w:val="mk-MK"/>
        </w:rPr>
        <w:t xml:space="preserve">им </w:t>
      </w:r>
      <w:r w:rsidR="00DA6FAB">
        <w:rPr>
          <w:lang w:val="mk-MK"/>
        </w:rPr>
        <w:t xml:space="preserve">се </w:t>
      </w:r>
      <w:r w:rsidR="00635EDB">
        <w:rPr>
          <w:lang w:val="mk-MK"/>
        </w:rPr>
        <w:t xml:space="preserve">наложи </w:t>
      </w:r>
      <w:r w:rsidR="00DA6FAB">
        <w:rPr>
          <w:lang w:val="mk-MK"/>
        </w:rPr>
        <w:t>придржува</w:t>
      </w:r>
      <w:r w:rsidR="00635EDB">
        <w:rPr>
          <w:lang w:val="mk-MK"/>
        </w:rPr>
        <w:t xml:space="preserve">ње </w:t>
      </w:r>
      <w:r w:rsidR="00DA6FAB">
        <w:rPr>
          <w:lang w:val="mk-MK"/>
        </w:rPr>
        <w:t xml:space="preserve">кон дополнителните услови за пловидбеност, кои </w:t>
      </w:r>
      <w:r w:rsidR="008B5DFA">
        <w:rPr>
          <w:lang w:val="mk-MK"/>
        </w:rPr>
        <w:t xml:space="preserve">Агенцијата не ги налагала во времето на издавање на уверение за проект, бидејќи во тоа време тие не биле вклучени во релевантните </w:t>
      </w:r>
      <w:r w:rsidR="008B5DFA">
        <w:rPr>
          <w:lang w:val="en-US"/>
        </w:rPr>
        <w:t>CS.</w:t>
      </w:r>
      <w:r w:rsidR="00CC10B0">
        <w:rPr>
          <w:lang w:val="en-US"/>
        </w:rPr>
        <w:t xml:space="preserve"> </w:t>
      </w:r>
      <w:r w:rsidR="00CC10B0">
        <w:rPr>
          <w:lang w:val="mk-MK"/>
        </w:rPr>
        <w:t xml:space="preserve">Оваа измена и дополнување на </w:t>
      </w:r>
      <w:r w:rsidR="00CC10B0" w:rsidRPr="00CC10B0">
        <w:rPr>
          <w:lang w:val="mk-MK"/>
        </w:rPr>
        <w:t>Регулатива (Е</w:t>
      </w:r>
      <w:r w:rsidR="00CC10B0">
        <w:rPr>
          <w:lang w:val="mk-MK"/>
        </w:rPr>
        <w:t>У</w:t>
      </w:r>
      <w:r w:rsidR="00CC10B0" w:rsidRPr="00CC10B0">
        <w:rPr>
          <w:lang w:val="mk-MK"/>
        </w:rPr>
        <w:t>)</w:t>
      </w:r>
      <w:r w:rsidR="00CC10B0">
        <w:rPr>
          <w:lang w:val="mk-MK"/>
        </w:rPr>
        <w:t xml:space="preserve"> 2015/640 се однесува на три </w:t>
      </w:r>
      <w:r w:rsidR="00936BEB" w:rsidRPr="00C52644">
        <w:rPr>
          <w:color w:val="000000" w:themeColor="text1"/>
          <w:lang w:val="mk-MK"/>
        </w:rPr>
        <w:t>подобрувања</w:t>
      </w:r>
      <w:r w:rsidR="007C1AF0" w:rsidRPr="00C52644">
        <w:rPr>
          <w:color w:val="000000" w:themeColor="text1"/>
          <w:lang w:val="en-US"/>
        </w:rPr>
        <w:t>/</w:t>
      </w:r>
      <w:r w:rsidR="007C1AF0" w:rsidRPr="00C52644">
        <w:rPr>
          <w:color w:val="000000" w:themeColor="text1"/>
          <w:lang w:val="mk-MK"/>
        </w:rPr>
        <w:t xml:space="preserve">појаснувања </w:t>
      </w:r>
      <w:r w:rsidR="00936BEB">
        <w:rPr>
          <w:lang w:val="mk-MK"/>
        </w:rPr>
        <w:t xml:space="preserve">на </w:t>
      </w:r>
      <w:r w:rsidR="00936BEB">
        <w:rPr>
          <w:lang w:val="en-US"/>
        </w:rPr>
        <w:t>CS</w:t>
      </w:r>
      <w:r w:rsidR="00936BEB">
        <w:rPr>
          <w:lang w:val="mk-MK"/>
        </w:rPr>
        <w:t>.</w:t>
      </w:r>
    </w:p>
    <w:p w14:paraId="0F3D1540" w14:textId="77777777" w:rsidR="008B5DFA" w:rsidRDefault="008B5DFA" w:rsidP="006877FB">
      <w:pPr>
        <w:pStyle w:val="NormalWeb"/>
        <w:tabs>
          <w:tab w:val="left" w:pos="426"/>
        </w:tabs>
        <w:spacing w:before="0" w:beforeAutospacing="0" w:after="0" w:afterAutospacing="0"/>
        <w:ind w:left="426" w:right="429" w:hanging="426"/>
        <w:jc w:val="both"/>
        <w:rPr>
          <w:lang w:val="mk-MK"/>
        </w:rPr>
      </w:pPr>
    </w:p>
    <w:p w14:paraId="18E82413" w14:textId="33067C20" w:rsidR="00EA14B8" w:rsidRDefault="005502CA" w:rsidP="005502CA">
      <w:pPr>
        <w:pStyle w:val="NormalWeb"/>
        <w:tabs>
          <w:tab w:val="left" w:pos="426"/>
        </w:tabs>
        <w:spacing w:before="0" w:beforeAutospacing="0" w:after="0" w:afterAutospacing="0"/>
        <w:ind w:left="426" w:right="429" w:hanging="426"/>
        <w:jc w:val="both"/>
        <w:rPr>
          <w:lang w:val="mk-MK"/>
        </w:rPr>
      </w:pPr>
      <w:r w:rsidRPr="00FE4F0C">
        <w:rPr>
          <w:lang w:val="mk-MK"/>
        </w:rPr>
        <w:lastRenderedPageBreak/>
        <w:t>(</w:t>
      </w:r>
      <w:r>
        <w:rPr>
          <w:lang w:val="mk-MK"/>
        </w:rPr>
        <w:t>3</w:t>
      </w:r>
      <w:r w:rsidRPr="00FE4F0C">
        <w:rPr>
          <w:lang w:val="mk-MK"/>
        </w:rPr>
        <w:t>)</w:t>
      </w:r>
      <w:r>
        <w:rPr>
          <w:lang w:val="mk-MK"/>
        </w:rPr>
        <w:tab/>
      </w:r>
      <w:r w:rsidR="00E03C31">
        <w:rPr>
          <w:lang w:val="mk-MK"/>
        </w:rPr>
        <w:t xml:space="preserve">Прво, </w:t>
      </w:r>
      <w:r w:rsidR="00191D77">
        <w:rPr>
          <w:lang w:val="mk-MK"/>
        </w:rPr>
        <w:t xml:space="preserve">во 1989 година, </w:t>
      </w:r>
      <w:r w:rsidR="00D746D7">
        <w:rPr>
          <w:lang w:val="mk-MK"/>
        </w:rPr>
        <w:t>Здружените</w:t>
      </w:r>
      <w:r w:rsidR="00191D77">
        <w:rPr>
          <w:lang w:val="mk-MK"/>
        </w:rPr>
        <w:t xml:space="preserve"> воздухопловни власти (</w:t>
      </w:r>
      <w:r w:rsidR="00191D77">
        <w:rPr>
          <w:lang w:val="en-US"/>
        </w:rPr>
        <w:t>JAA</w:t>
      </w:r>
      <w:r w:rsidR="00191D77">
        <w:rPr>
          <w:lang w:val="mk-MK"/>
        </w:rPr>
        <w:t>) воведоа нови стандарди за проектирање за динамички услови за седиштата на патниците и кабинскиот персонал на големите авиони, нудејќи подобрена заштита на лицата во авион</w:t>
      </w:r>
      <w:r w:rsidR="00A704B1">
        <w:rPr>
          <w:lang w:val="mk-MK"/>
        </w:rPr>
        <w:t>от</w:t>
      </w:r>
      <w:r w:rsidR="00191D77">
        <w:rPr>
          <w:lang w:val="mk-MK"/>
        </w:rPr>
        <w:t>. Целта на тие стандарди беше да се намали ризикот од повреди или смрт во случај на принудно слетување. Тие се пренесоа во спецификациите на Агенцијата за издавање на уверение за големи авиони (</w:t>
      </w:r>
      <w:r w:rsidR="00191D77">
        <w:rPr>
          <w:lang w:val="en-US"/>
        </w:rPr>
        <w:t>CS–</w:t>
      </w:r>
      <w:r w:rsidR="00191D77">
        <w:rPr>
          <w:lang w:val="mk-MK"/>
        </w:rPr>
        <w:t>25)</w:t>
      </w:r>
      <w:r w:rsidR="00B63B9A">
        <w:rPr>
          <w:lang w:val="mk-MK"/>
        </w:rPr>
        <w:t xml:space="preserve">, но се применуваат само на големи воздухоплови, за кои </w:t>
      </w:r>
      <w:r w:rsidR="00EA14B8">
        <w:rPr>
          <w:lang w:val="mk-MK"/>
        </w:rPr>
        <w:t xml:space="preserve">барањето за издавање на уверение за проектот е поднесено после 1989 година. </w:t>
      </w:r>
      <w:r w:rsidR="00DA7299">
        <w:rPr>
          <w:lang w:val="mk-MK"/>
        </w:rPr>
        <w:t xml:space="preserve">Бидејќи </w:t>
      </w:r>
      <w:r w:rsidR="001A4AF0">
        <w:rPr>
          <w:lang w:val="mk-MK"/>
        </w:rPr>
        <w:t>одредени големи авиони можеби не</w:t>
      </w:r>
      <w:r w:rsidR="00DA7299">
        <w:rPr>
          <w:lang w:val="mk-MK"/>
        </w:rPr>
        <w:t xml:space="preserve"> </w:t>
      </w:r>
      <w:r w:rsidR="001A4AF0">
        <w:rPr>
          <w:lang w:val="mk-MK"/>
        </w:rPr>
        <w:t>м</w:t>
      </w:r>
      <w:r w:rsidR="00DA7299">
        <w:rPr>
          <w:lang w:val="mk-MK"/>
        </w:rPr>
        <w:t xml:space="preserve">ожат </w:t>
      </w:r>
      <w:r w:rsidR="001A4AF0">
        <w:rPr>
          <w:lang w:val="mk-MK"/>
        </w:rPr>
        <w:t xml:space="preserve">да се придржуваат кон тие стандарди, заради тоа треба да се воведат дополнителни спецификации за пловидбеност. </w:t>
      </w:r>
      <w:r w:rsidR="00465E33">
        <w:rPr>
          <w:lang w:val="mk-MK"/>
        </w:rPr>
        <w:t xml:space="preserve">Водејќи должно внимание на </w:t>
      </w:r>
      <w:r w:rsidR="00A704B1">
        <w:rPr>
          <w:lang w:val="mk-MK"/>
        </w:rPr>
        <w:t xml:space="preserve">карактерот </w:t>
      </w:r>
      <w:r w:rsidR="00465E33">
        <w:rPr>
          <w:lang w:val="mk-MK"/>
        </w:rPr>
        <w:t>и ризикот на операции</w:t>
      </w:r>
      <w:r w:rsidR="00A704B1">
        <w:rPr>
          <w:lang w:val="mk-MK"/>
        </w:rPr>
        <w:t>те</w:t>
      </w:r>
      <w:r w:rsidR="00465E33">
        <w:rPr>
          <w:lang w:val="mk-MK"/>
        </w:rPr>
        <w:t xml:space="preserve"> со големи авиони</w:t>
      </w:r>
      <w:r w:rsidR="00B73490">
        <w:rPr>
          <w:lang w:val="mk-MK"/>
        </w:rPr>
        <w:t xml:space="preserve">, одржувајќи </w:t>
      </w:r>
      <w:r w:rsidR="009B7423">
        <w:rPr>
          <w:lang w:val="mk-MK"/>
        </w:rPr>
        <w:t>пр</w:t>
      </w:r>
      <w:r w:rsidR="00B73490">
        <w:rPr>
          <w:lang w:val="mk-MK"/>
        </w:rPr>
        <w:t>и</w:t>
      </w:r>
      <w:r w:rsidR="009B7423">
        <w:rPr>
          <w:lang w:val="mk-MK"/>
        </w:rPr>
        <w:t xml:space="preserve"> тоа </w:t>
      </w:r>
      <w:r w:rsidR="00B73490">
        <w:rPr>
          <w:lang w:val="mk-MK"/>
        </w:rPr>
        <w:t xml:space="preserve">високо униформно ниво на безбедност на цивилното воздухопловство во </w:t>
      </w:r>
      <w:r w:rsidR="00D746D7">
        <w:rPr>
          <w:lang w:val="mk-MK"/>
        </w:rPr>
        <w:t xml:space="preserve"> </w:t>
      </w:r>
      <w:r w:rsidR="00653DE0">
        <w:rPr>
          <w:lang w:val="mk-MK"/>
        </w:rPr>
        <w:t>У</w:t>
      </w:r>
      <w:r w:rsidR="00B73490">
        <w:rPr>
          <w:lang w:val="mk-MK"/>
        </w:rPr>
        <w:t xml:space="preserve">нијата, се смета дека </w:t>
      </w:r>
      <w:r w:rsidR="009B7423">
        <w:rPr>
          <w:lang w:val="mk-MK"/>
        </w:rPr>
        <w:t xml:space="preserve">е </w:t>
      </w:r>
      <w:r w:rsidR="00653DE0">
        <w:rPr>
          <w:lang w:val="mk-MK"/>
        </w:rPr>
        <w:t xml:space="preserve">сразмерно и економично исплатливо да се воведат овие дополнителни </w:t>
      </w:r>
      <w:r w:rsidR="00FB3AB0">
        <w:rPr>
          <w:lang w:val="mk-MK"/>
        </w:rPr>
        <w:t>спецификации за пловидбеност само за големи</w:t>
      </w:r>
      <w:r w:rsidR="00A704B1">
        <w:rPr>
          <w:lang w:val="mk-MK"/>
        </w:rPr>
        <w:t>те</w:t>
      </w:r>
      <w:r w:rsidR="00FB3AB0">
        <w:rPr>
          <w:lang w:val="mk-MK"/>
        </w:rPr>
        <w:t xml:space="preserve"> авиони, кои се ново произведени врз основа на </w:t>
      </w:r>
      <w:r w:rsidR="00FD67EB">
        <w:rPr>
          <w:lang w:val="mk-MK"/>
        </w:rPr>
        <w:t xml:space="preserve">проект, за кои Агенцијата веќе издала уверение. </w:t>
      </w:r>
      <w:r w:rsidR="00F371AC">
        <w:rPr>
          <w:lang w:val="mk-MK"/>
        </w:rPr>
        <w:t>Овие дополнителни спецификации за пловидбеност не би требало да се применуваат на седиштата во пилотската кабина</w:t>
      </w:r>
      <w:r w:rsidR="00004B4A">
        <w:rPr>
          <w:lang w:val="mk-MK"/>
        </w:rPr>
        <w:t>,</w:t>
      </w:r>
      <w:r w:rsidR="00F371AC">
        <w:rPr>
          <w:lang w:val="mk-MK"/>
        </w:rPr>
        <w:t xml:space="preserve"> нити на седишта</w:t>
      </w:r>
      <w:r w:rsidR="00A704B1">
        <w:rPr>
          <w:lang w:val="mk-MK"/>
        </w:rPr>
        <w:t>та</w:t>
      </w:r>
      <w:r w:rsidR="00F371AC">
        <w:rPr>
          <w:lang w:val="mk-MK"/>
        </w:rPr>
        <w:t xml:space="preserve"> на авиони со помал капацитет на патници, со кои</w:t>
      </w:r>
      <w:r w:rsidR="00A704B1">
        <w:rPr>
          <w:lang w:val="mk-MK"/>
        </w:rPr>
        <w:t>,</w:t>
      </w:r>
      <w:r w:rsidR="00F371AC">
        <w:rPr>
          <w:lang w:val="mk-MK"/>
        </w:rPr>
        <w:t xml:space="preserve"> на барање</w:t>
      </w:r>
      <w:r w:rsidR="00A704B1">
        <w:rPr>
          <w:lang w:val="mk-MK"/>
        </w:rPr>
        <w:t>,</w:t>
      </w:r>
      <w:r w:rsidR="00F371AC">
        <w:rPr>
          <w:lang w:val="mk-MK"/>
        </w:rPr>
        <w:t xml:space="preserve"> се вршат нередовни комерцијални операции </w:t>
      </w:r>
      <w:r w:rsidR="009F4BE3">
        <w:rPr>
          <w:lang w:val="mk-MK"/>
        </w:rPr>
        <w:t xml:space="preserve">во воздушниот превоз, бидејќи се смета дека </w:t>
      </w:r>
      <w:r w:rsidR="009B2DE4">
        <w:rPr>
          <w:lang w:val="mk-MK"/>
        </w:rPr>
        <w:t xml:space="preserve">тоа </w:t>
      </w:r>
      <w:r w:rsidR="009F4BE3">
        <w:rPr>
          <w:lang w:val="mk-MK"/>
        </w:rPr>
        <w:t xml:space="preserve">не е </w:t>
      </w:r>
      <w:r w:rsidR="00245421">
        <w:rPr>
          <w:lang w:val="mk-MK"/>
        </w:rPr>
        <w:t xml:space="preserve">нити </w:t>
      </w:r>
      <w:r w:rsidR="009F4BE3">
        <w:rPr>
          <w:lang w:val="mk-MK"/>
        </w:rPr>
        <w:t>сразмерно ни економски исплатливо.</w:t>
      </w:r>
    </w:p>
    <w:p w14:paraId="6E60BCAB" w14:textId="77777777" w:rsidR="00DA7299" w:rsidRDefault="00DA7299" w:rsidP="005502CA">
      <w:pPr>
        <w:pStyle w:val="NormalWeb"/>
        <w:tabs>
          <w:tab w:val="left" w:pos="426"/>
        </w:tabs>
        <w:spacing w:before="0" w:beforeAutospacing="0" w:after="0" w:afterAutospacing="0"/>
        <w:ind w:left="426" w:right="429" w:hanging="426"/>
        <w:jc w:val="both"/>
        <w:rPr>
          <w:lang w:val="mk-MK"/>
        </w:rPr>
      </w:pPr>
    </w:p>
    <w:p w14:paraId="77F8D44B" w14:textId="07D52178" w:rsidR="00625ACC" w:rsidRPr="002B7201" w:rsidRDefault="00586210" w:rsidP="00586210">
      <w:pPr>
        <w:pStyle w:val="NormalWeb"/>
        <w:tabs>
          <w:tab w:val="left" w:pos="426"/>
        </w:tabs>
        <w:spacing w:before="0" w:beforeAutospacing="0" w:after="0" w:afterAutospacing="0"/>
        <w:ind w:left="426" w:right="429" w:hanging="426"/>
        <w:jc w:val="both"/>
        <w:rPr>
          <w:lang w:val="en-US"/>
        </w:rPr>
      </w:pPr>
      <w:r w:rsidRPr="00FE4F0C">
        <w:rPr>
          <w:lang w:val="mk-MK"/>
        </w:rPr>
        <w:t>(</w:t>
      </w:r>
      <w:r>
        <w:rPr>
          <w:lang w:val="mk-MK"/>
        </w:rPr>
        <w:t>4</w:t>
      </w:r>
      <w:r w:rsidRPr="00FE4F0C">
        <w:rPr>
          <w:lang w:val="mk-MK"/>
        </w:rPr>
        <w:t>)</w:t>
      </w:r>
      <w:r>
        <w:rPr>
          <w:lang w:val="mk-MK"/>
        </w:rPr>
        <w:tab/>
      </w:r>
      <w:r w:rsidR="002E07A3">
        <w:rPr>
          <w:lang w:val="mk-MK"/>
        </w:rPr>
        <w:t xml:space="preserve">Второ, Агенцијата во 2009 година, </w:t>
      </w:r>
      <w:r w:rsidR="001B2862">
        <w:rPr>
          <w:lang w:val="mk-MK"/>
        </w:rPr>
        <w:t>во спецификациите за издавање на уверение за големи авиони (</w:t>
      </w:r>
      <w:r w:rsidR="001B2862">
        <w:rPr>
          <w:lang w:val="en-US"/>
        </w:rPr>
        <w:t xml:space="preserve">CS – 25, </w:t>
      </w:r>
      <w:r w:rsidR="001B2862">
        <w:rPr>
          <w:lang w:val="mk-MK"/>
        </w:rPr>
        <w:t xml:space="preserve">измена и дополнување </w:t>
      </w:r>
      <w:r w:rsidR="009B2DE4">
        <w:rPr>
          <w:lang w:val="mk-MK"/>
        </w:rPr>
        <w:t xml:space="preserve">бр. </w:t>
      </w:r>
      <w:r w:rsidR="001B2862">
        <w:rPr>
          <w:lang w:val="mk-MK"/>
        </w:rPr>
        <w:t xml:space="preserve">6) </w:t>
      </w:r>
      <w:r w:rsidR="002E07A3">
        <w:rPr>
          <w:lang w:val="mk-MK"/>
        </w:rPr>
        <w:t xml:space="preserve">воведе нови стандарди за </w:t>
      </w:r>
      <w:r w:rsidR="00523C90">
        <w:rPr>
          <w:lang w:val="mk-MK"/>
        </w:rPr>
        <w:t>запаливост на материјал</w:t>
      </w:r>
      <w:r w:rsidR="00B109A5">
        <w:rPr>
          <w:lang w:val="mk-MK"/>
        </w:rPr>
        <w:t>от за топлинска</w:t>
      </w:r>
      <w:r w:rsidR="00435C08">
        <w:rPr>
          <w:lang w:val="en-US"/>
        </w:rPr>
        <w:t>,</w:t>
      </w:r>
      <w:r w:rsidR="00B109A5">
        <w:rPr>
          <w:lang w:val="mk-MK"/>
        </w:rPr>
        <w:t xml:space="preserve"> односно звучна изолација, со што се постигна подобрување на извесни карактеристики </w:t>
      </w:r>
      <w:r w:rsidR="00DA6A3F">
        <w:rPr>
          <w:lang w:val="mk-MK"/>
        </w:rPr>
        <w:t>на изолаци</w:t>
      </w:r>
      <w:r w:rsidR="001E0D78">
        <w:rPr>
          <w:lang w:val="mk-MK"/>
        </w:rPr>
        <w:t>ски</w:t>
      </w:r>
      <w:r w:rsidR="009B2DE4">
        <w:rPr>
          <w:lang w:val="mk-MK"/>
        </w:rPr>
        <w:t>от</w:t>
      </w:r>
      <w:r w:rsidR="00DA6A3F">
        <w:rPr>
          <w:lang w:val="mk-MK"/>
        </w:rPr>
        <w:t xml:space="preserve"> материјал, кој е вграден во трупот за да се </w:t>
      </w:r>
      <w:r w:rsidR="001B2862">
        <w:rPr>
          <w:lang w:val="mk-MK"/>
        </w:rPr>
        <w:t>спречи</w:t>
      </w:r>
      <w:r w:rsidR="009B2DE4">
        <w:rPr>
          <w:lang w:val="mk-MK"/>
        </w:rPr>
        <w:t xml:space="preserve"> </w:t>
      </w:r>
      <w:r w:rsidR="001B2862">
        <w:rPr>
          <w:lang w:val="mk-MK"/>
        </w:rPr>
        <w:t>ширењето и продирањето на огнот.</w:t>
      </w:r>
      <w:r w:rsidR="001E0D78">
        <w:rPr>
          <w:lang w:val="mk-MK"/>
        </w:rPr>
        <w:t xml:space="preserve"> Овие нови стандарди за запаливост се применуваат само на големи авиони, за кои барањето за издавање на уверение е поднесено по 2009 година. </w:t>
      </w:r>
      <w:r w:rsidR="00D21C20">
        <w:rPr>
          <w:lang w:val="mk-MK"/>
        </w:rPr>
        <w:t xml:space="preserve">Бидејќи одредени големи авиони можеби не можат да се придржуваат кон тие стандарди, заради тоа треба да се воведат дополнителни спецификации за пловидбеност. Водејќи должно внимание на карактерот и ризикот од операциите со големи авиони, одржувајќи при тоа високо униформно ниво на безбедност на цивилното воздухопловство во Унијата, се смета дека е сразмерно и економично исплатливо да се воведат дополнителни спецификации за пловидбеност, </w:t>
      </w:r>
      <w:r w:rsidR="009B2DE4">
        <w:rPr>
          <w:lang w:val="mk-MK"/>
        </w:rPr>
        <w:t xml:space="preserve">со цел </w:t>
      </w:r>
      <w:r w:rsidR="006A107D">
        <w:rPr>
          <w:lang w:val="mk-MK"/>
        </w:rPr>
        <w:t>решавање на ризикот од ширење на ог</w:t>
      </w:r>
      <w:r w:rsidR="00625ACC">
        <w:rPr>
          <w:lang w:val="mk-MK"/>
        </w:rPr>
        <w:t>ан</w:t>
      </w:r>
      <w:r w:rsidR="006A107D">
        <w:rPr>
          <w:lang w:val="mk-MK"/>
        </w:rPr>
        <w:t xml:space="preserve"> за време на лет на големи авиони, </w:t>
      </w:r>
      <w:r w:rsidR="00D21C20">
        <w:rPr>
          <w:lang w:val="mk-MK"/>
        </w:rPr>
        <w:t xml:space="preserve">кои се ново произведени врз основа на проект, за кои Агенцијата веќе издала уверение. </w:t>
      </w:r>
      <w:r w:rsidR="003A6F06">
        <w:rPr>
          <w:lang w:val="mk-MK"/>
        </w:rPr>
        <w:t>Исто така, о</w:t>
      </w:r>
      <w:r w:rsidR="00D21C20">
        <w:rPr>
          <w:lang w:val="mk-MK"/>
        </w:rPr>
        <w:t xml:space="preserve">вие дополнителни спецификации за пловидбеност </w:t>
      </w:r>
      <w:r w:rsidR="006A107D">
        <w:rPr>
          <w:lang w:val="mk-MK"/>
        </w:rPr>
        <w:t xml:space="preserve">треба да се применуваат и на големи авиони кои </w:t>
      </w:r>
      <w:r w:rsidR="003A6F06">
        <w:rPr>
          <w:lang w:val="mk-MK"/>
        </w:rPr>
        <w:t xml:space="preserve">се користат </w:t>
      </w:r>
      <w:r w:rsidR="006A107D">
        <w:rPr>
          <w:lang w:val="mk-MK"/>
        </w:rPr>
        <w:t>во времето на замена на материјалот за топлинска</w:t>
      </w:r>
      <w:r w:rsidR="0013135C">
        <w:rPr>
          <w:lang w:val="mk-MK"/>
        </w:rPr>
        <w:t>,</w:t>
      </w:r>
      <w:r w:rsidR="006A107D">
        <w:rPr>
          <w:lang w:val="mk-MK"/>
        </w:rPr>
        <w:t xml:space="preserve"> односно звучна изолација</w:t>
      </w:r>
      <w:r w:rsidR="003A6F06">
        <w:rPr>
          <w:lang w:val="mk-MK"/>
        </w:rPr>
        <w:t>.</w:t>
      </w:r>
      <w:r w:rsidR="006A107D">
        <w:rPr>
          <w:lang w:val="mk-MK"/>
        </w:rPr>
        <w:t xml:space="preserve"> Конечно, дополнителните спецификации за пловидбеност</w:t>
      </w:r>
      <w:r w:rsidR="004344EC">
        <w:rPr>
          <w:lang w:val="mk-MK"/>
        </w:rPr>
        <w:t xml:space="preserve">, со цел </w:t>
      </w:r>
      <w:r w:rsidR="006A107D">
        <w:rPr>
          <w:lang w:val="mk-MK"/>
        </w:rPr>
        <w:t xml:space="preserve">решавање на ризикот </w:t>
      </w:r>
      <w:r w:rsidR="00625ACC">
        <w:rPr>
          <w:lang w:val="mk-MK"/>
        </w:rPr>
        <w:t>од ширење на оган во авионот после несреќа, треба да се воведат за големи</w:t>
      </w:r>
      <w:r w:rsidR="00E14FF7">
        <w:rPr>
          <w:lang w:val="mk-MK"/>
        </w:rPr>
        <w:t>те</w:t>
      </w:r>
      <w:r w:rsidR="00625ACC">
        <w:rPr>
          <w:lang w:val="mk-MK"/>
        </w:rPr>
        <w:t xml:space="preserve"> авиони со капацитет од 20 или повеќе патнички седишта, а да се применуваат само на авиони кои се ново произведени врз основа на проект за кои Агенцијата веќе издала уверение</w:t>
      </w:r>
      <w:r w:rsidR="001410FF">
        <w:rPr>
          <w:lang w:val="en-US"/>
        </w:rPr>
        <w:t>.</w:t>
      </w:r>
    </w:p>
    <w:p w14:paraId="047F9ABB" w14:textId="77777777" w:rsidR="00815FAB" w:rsidRDefault="00815FAB" w:rsidP="00586210">
      <w:pPr>
        <w:pStyle w:val="NormalWeb"/>
        <w:tabs>
          <w:tab w:val="left" w:pos="426"/>
        </w:tabs>
        <w:spacing w:before="0" w:beforeAutospacing="0" w:after="0" w:afterAutospacing="0"/>
        <w:ind w:left="426" w:right="429" w:hanging="426"/>
        <w:jc w:val="both"/>
        <w:rPr>
          <w:lang w:val="mk-MK"/>
        </w:rPr>
      </w:pPr>
    </w:p>
    <w:p w14:paraId="53101002" w14:textId="20F18B14" w:rsidR="007C6CA4" w:rsidRDefault="00625ACC" w:rsidP="00625ACC">
      <w:pPr>
        <w:pStyle w:val="NormalWeb"/>
        <w:tabs>
          <w:tab w:val="left" w:pos="426"/>
        </w:tabs>
        <w:spacing w:before="0" w:beforeAutospacing="0" w:after="0" w:afterAutospacing="0"/>
        <w:ind w:left="426" w:right="429" w:hanging="426"/>
        <w:jc w:val="both"/>
        <w:rPr>
          <w:lang w:val="mk-MK"/>
        </w:rPr>
      </w:pPr>
      <w:r w:rsidRPr="00FE4F0C">
        <w:rPr>
          <w:lang w:val="mk-MK"/>
        </w:rPr>
        <w:t>(</w:t>
      </w:r>
      <w:r>
        <w:rPr>
          <w:lang w:val="mk-MK"/>
        </w:rPr>
        <w:t>5</w:t>
      </w:r>
      <w:r w:rsidRPr="00FE4F0C">
        <w:rPr>
          <w:lang w:val="mk-MK"/>
        </w:rPr>
        <w:t>)</w:t>
      </w:r>
      <w:r>
        <w:rPr>
          <w:lang w:val="mk-MK"/>
        </w:rPr>
        <w:tab/>
        <w:t>Трето, со цел постепено да се намалува влијанието кое врз животната средина го има халонот</w:t>
      </w:r>
      <w:r w:rsidR="00492D56">
        <w:rPr>
          <w:lang w:val="mk-MK"/>
        </w:rPr>
        <w:t xml:space="preserve"> користен во опремата за противпожарна заштита</w:t>
      </w:r>
      <w:r w:rsidR="00E23823">
        <w:rPr>
          <w:lang w:val="mk-MK"/>
        </w:rPr>
        <w:t xml:space="preserve">, </w:t>
      </w:r>
      <w:r w:rsidR="00E23823" w:rsidRPr="00E23823">
        <w:rPr>
          <w:lang w:val="mk-MK"/>
        </w:rPr>
        <w:t>Меѓународна</w:t>
      </w:r>
      <w:r w:rsidR="00E23823">
        <w:rPr>
          <w:lang w:val="mk-MK"/>
        </w:rPr>
        <w:t>та</w:t>
      </w:r>
      <w:r w:rsidR="00E23823" w:rsidRPr="00E23823">
        <w:rPr>
          <w:lang w:val="mk-MK"/>
        </w:rPr>
        <w:t xml:space="preserve"> организација за цивилно воздухопловство</w:t>
      </w:r>
      <w:r>
        <w:rPr>
          <w:lang w:val="mk-MK"/>
        </w:rPr>
        <w:t xml:space="preserve"> </w:t>
      </w:r>
      <w:r w:rsidR="00E23823">
        <w:rPr>
          <w:lang w:val="mk-MK"/>
        </w:rPr>
        <w:t>(</w:t>
      </w:r>
      <w:r w:rsidR="00E23823">
        <w:rPr>
          <w:lang w:val="en-US"/>
        </w:rPr>
        <w:t>ICAO</w:t>
      </w:r>
      <w:r w:rsidR="00E23823">
        <w:rPr>
          <w:lang w:val="mk-MK"/>
        </w:rPr>
        <w:t xml:space="preserve">) издаде нови стандарди, така што го измени и дополни Анекс 6 на </w:t>
      </w:r>
      <w:r w:rsidR="00E23823">
        <w:rPr>
          <w:lang w:val="en-US"/>
        </w:rPr>
        <w:t>ICAO</w:t>
      </w:r>
      <w:r w:rsidR="00E23823">
        <w:rPr>
          <w:lang w:val="mk-MK"/>
        </w:rPr>
        <w:t xml:space="preserve">, </w:t>
      </w:r>
      <w:r w:rsidR="008C276A">
        <w:rPr>
          <w:lang w:val="mk-MK"/>
        </w:rPr>
        <w:t xml:space="preserve">а </w:t>
      </w:r>
      <w:r w:rsidR="00E23823">
        <w:rPr>
          <w:lang w:val="mk-MK"/>
        </w:rPr>
        <w:t xml:space="preserve">кои се применливи од 15 декември 2011 година. </w:t>
      </w:r>
      <w:r w:rsidR="007C6CA4">
        <w:rPr>
          <w:lang w:val="mk-MK"/>
        </w:rPr>
        <w:t xml:space="preserve">Со цел да се почитуваат тие стандарди, </w:t>
      </w:r>
      <w:r w:rsidR="008C276A">
        <w:rPr>
          <w:lang w:val="mk-MK"/>
        </w:rPr>
        <w:t xml:space="preserve">треба </w:t>
      </w:r>
      <w:r w:rsidR="007C6CA4">
        <w:rPr>
          <w:lang w:val="mk-MK"/>
        </w:rPr>
        <w:t xml:space="preserve">да се воведат дополнителни спецификации за пловидбеност </w:t>
      </w:r>
      <w:r w:rsidR="00435C08">
        <w:rPr>
          <w:lang w:val="mk-MK"/>
        </w:rPr>
        <w:t>н</w:t>
      </w:r>
      <w:r w:rsidR="007C6CA4">
        <w:rPr>
          <w:lang w:val="mk-MK"/>
        </w:rPr>
        <w:t>а ново-произведените големи авиони и големи хеликоптери, за чии проекти Агенцијата веќе издала уверение</w:t>
      </w:r>
      <w:r w:rsidR="00B42382">
        <w:rPr>
          <w:lang w:val="mk-MK"/>
        </w:rPr>
        <w:t>,</w:t>
      </w:r>
      <w:r w:rsidR="007C6CA4">
        <w:rPr>
          <w:lang w:val="mk-MK"/>
        </w:rPr>
        <w:t xml:space="preserve"> врз основа на </w:t>
      </w:r>
      <w:r w:rsidR="007C6CA4">
        <w:rPr>
          <w:lang w:val="mk-MK"/>
        </w:rPr>
        <w:lastRenderedPageBreak/>
        <w:t>спецификациите за издавање на уверение, со кои се дозволува користење на халон како соодветен агенс.</w:t>
      </w:r>
    </w:p>
    <w:p w14:paraId="47ED23F7" w14:textId="77777777" w:rsidR="005502CA" w:rsidRDefault="005502CA" w:rsidP="005502CA">
      <w:pPr>
        <w:pStyle w:val="NormalWeb"/>
        <w:tabs>
          <w:tab w:val="left" w:pos="426"/>
        </w:tabs>
        <w:spacing w:before="0" w:beforeAutospacing="0" w:after="0" w:afterAutospacing="0"/>
        <w:ind w:left="426" w:right="429" w:hanging="426"/>
        <w:jc w:val="both"/>
        <w:rPr>
          <w:lang w:val="mk-MK"/>
        </w:rPr>
      </w:pPr>
    </w:p>
    <w:p w14:paraId="4A792E65" w14:textId="1C4F07F5" w:rsidR="006877FB" w:rsidRPr="00AC4DAF" w:rsidRDefault="006877FB" w:rsidP="006877FB">
      <w:pPr>
        <w:pStyle w:val="NormalWeb"/>
        <w:tabs>
          <w:tab w:val="left" w:pos="426"/>
        </w:tabs>
        <w:spacing w:before="0" w:beforeAutospacing="0" w:after="0" w:afterAutospacing="0"/>
        <w:ind w:left="426" w:right="429" w:hanging="426"/>
        <w:jc w:val="both"/>
        <w:rPr>
          <w:lang w:val="ru-RU"/>
        </w:rPr>
      </w:pPr>
      <w:r>
        <w:rPr>
          <w:lang w:val="en-US"/>
        </w:rPr>
        <w:t>(</w:t>
      </w:r>
      <w:r w:rsidR="007C6CA4">
        <w:rPr>
          <w:lang w:val="en-US"/>
        </w:rPr>
        <w:t>6</w:t>
      </w:r>
      <w:r w:rsidRPr="00FE4F0C">
        <w:rPr>
          <w:lang w:val="mk-MK"/>
        </w:rPr>
        <w:t>)</w:t>
      </w:r>
      <w:r>
        <w:rPr>
          <w:lang w:val="mk-MK"/>
        </w:rPr>
        <w:tab/>
        <w:t xml:space="preserve">Заради тоа, Регулативата (ЕУ) бр. </w:t>
      </w:r>
      <w:r w:rsidR="007C6CA4">
        <w:rPr>
          <w:lang w:val="mk-MK"/>
        </w:rPr>
        <w:t xml:space="preserve">2015/640 </w:t>
      </w:r>
      <w:r>
        <w:rPr>
          <w:lang w:val="mk-MK"/>
        </w:rPr>
        <w:t>треба соодветно да се измени и дополни.</w:t>
      </w:r>
      <w:r w:rsidRPr="0077004B">
        <w:rPr>
          <w:lang w:val="ru-RU"/>
        </w:rPr>
        <w:t xml:space="preserve"> </w:t>
      </w:r>
    </w:p>
    <w:p w14:paraId="25F5AF4F" w14:textId="77777777" w:rsidR="006877FB" w:rsidRDefault="006877FB" w:rsidP="006877FB">
      <w:pPr>
        <w:pStyle w:val="NormalWeb"/>
        <w:tabs>
          <w:tab w:val="left" w:pos="426"/>
        </w:tabs>
        <w:spacing w:before="0" w:beforeAutospacing="0" w:after="0" w:afterAutospacing="0"/>
        <w:ind w:right="429"/>
        <w:jc w:val="both"/>
        <w:rPr>
          <w:lang w:val="en-US"/>
        </w:rPr>
      </w:pPr>
    </w:p>
    <w:p w14:paraId="5D5342A3" w14:textId="5D357258" w:rsidR="006877FB" w:rsidRPr="00AC4DAF" w:rsidRDefault="006877FB" w:rsidP="006877FB">
      <w:pPr>
        <w:pStyle w:val="NormalWeb"/>
        <w:tabs>
          <w:tab w:val="left" w:pos="426"/>
        </w:tabs>
        <w:spacing w:before="0" w:beforeAutospacing="0" w:after="0" w:afterAutospacing="0"/>
        <w:ind w:left="426" w:right="429" w:hanging="426"/>
        <w:jc w:val="both"/>
        <w:rPr>
          <w:lang w:val="ru-RU"/>
        </w:rPr>
      </w:pPr>
      <w:r>
        <w:rPr>
          <w:lang w:val="en-US"/>
        </w:rPr>
        <w:t>(</w:t>
      </w:r>
      <w:r w:rsidR="007C6CA4">
        <w:rPr>
          <w:lang w:val="en-US"/>
        </w:rPr>
        <w:t>7</w:t>
      </w:r>
      <w:r w:rsidRPr="00FE4F0C">
        <w:rPr>
          <w:lang w:val="mk-MK"/>
        </w:rPr>
        <w:t>)</w:t>
      </w:r>
      <w:r>
        <w:rPr>
          <w:lang w:val="mk-MK"/>
        </w:rPr>
        <w:tab/>
        <w:t xml:space="preserve">Мерките кои се предвидуваат во оваа регулатива се </w:t>
      </w:r>
      <w:r w:rsidR="007C6CA4">
        <w:rPr>
          <w:lang w:val="mk-MK"/>
        </w:rPr>
        <w:t xml:space="preserve">засноваат врз </w:t>
      </w:r>
      <w:r>
        <w:rPr>
          <w:lang w:val="mk-MK"/>
        </w:rPr>
        <w:t>мислењ</w:t>
      </w:r>
      <w:r w:rsidR="007C6CA4">
        <w:rPr>
          <w:lang w:val="mk-MK"/>
        </w:rPr>
        <w:t xml:space="preserve">ата </w:t>
      </w:r>
      <w:r>
        <w:rPr>
          <w:lang w:val="mk-MK"/>
        </w:rPr>
        <w:t xml:space="preserve">на </w:t>
      </w:r>
      <w:r w:rsidR="007C6CA4">
        <w:rPr>
          <w:lang w:val="mk-MK"/>
        </w:rPr>
        <w:t xml:space="preserve">Агенцијата согласно член 76(1) од </w:t>
      </w:r>
      <w:r>
        <w:rPr>
          <w:lang w:val="mk-MK"/>
        </w:rPr>
        <w:t>Регулатива (Е</w:t>
      </w:r>
      <w:r w:rsidR="007C6CA4">
        <w:rPr>
          <w:lang w:val="mk-MK"/>
        </w:rPr>
        <w:t>У</w:t>
      </w:r>
      <w:r>
        <w:rPr>
          <w:lang w:val="mk-MK"/>
        </w:rPr>
        <w:t>) бр. 2</w:t>
      </w:r>
      <w:r w:rsidR="007C6CA4">
        <w:rPr>
          <w:lang w:val="mk-MK"/>
        </w:rPr>
        <w:t>0</w:t>
      </w:r>
      <w:r>
        <w:rPr>
          <w:lang w:val="mk-MK"/>
        </w:rPr>
        <w:t>1</w:t>
      </w:r>
      <w:r w:rsidR="007C6CA4">
        <w:rPr>
          <w:lang w:val="mk-MK"/>
        </w:rPr>
        <w:t>8</w:t>
      </w:r>
      <w:r>
        <w:rPr>
          <w:lang w:val="mk-MK"/>
        </w:rPr>
        <w:t>/</w:t>
      </w:r>
      <w:r w:rsidR="007C6CA4">
        <w:rPr>
          <w:lang w:val="mk-MK"/>
        </w:rPr>
        <w:t>1139.</w:t>
      </w:r>
      <w:r w:rsidRPr="0077004B">
        <w:rPr>
          <w:lang w:val="ru-RU"/>
        </w:rPr>
        <w:t xml:space="preserve"> </w:t>
      </w:r>
    </w:p>
    <w:p w14:paraId="5E30585B" w14:textId="4611845F" w:rsidR="006877FB" w:rsidRDefault="006877FB" w:rsidP="006877FB">
      <w:pPr>
        <w:pStyle w:val="NormalWeb"/>
        <w:tabs>
          <w:tab w:val="left" w:pos="426"/>
        </w:tabs>
        <w:spacing w:before="0" w:beforeAutospacing="0" w:after="0" w:afterAutospacing="0"/>
        <w:ind w:right="429"/>
        <w:jc w:val="both"/>
        <w:rPr>
          <w:lang w:val="en-US"/>
        </w:rPr>
      </w:pPr>
    </w:p>
    <w:p w14:paraId="28352C46" w14:textId="6D713230" w:rsidR="00423E61" w:rsidRPr="00AC4DAF" w:rsidRDefault="00423E61" w:rsidP="00423E61">
      <w:pPr>
        <w:pStyle w:val="NormalWeb"/>
        <w:tabs>
          <w:tab w:val="left" w:pos="426"/>
        </w:tabs>
        <w:spacing w:before="0" w:beforeAutospacing="0" w:after="0" w:afterAutospacing="0"/>
        <w:ind w:left="426" w:right="429" w:hanging="426"/>
        <w:jc w:val="both"/>
        <w:rPr>
          <w:lang w:val="ru-RU"/>
        </w:rPr>
      </w:pPr>
      <w:r>
        <w:rPr>
          <w:lang w:val="en-US"/>
        </w:rPr>
        <w:t>(8</w:t>
      </w:r>
      <w:r w:rsidRPr="00FE4F0C">
        <w:rPr>
          <w:lang w:val="mk-MK"/>
        </w:rPr>
        <w:t>)</w:t>
      </w:r>
      <w:r>
        <w:rPr>
          <w:lang w:val="mk-MK"/>
        </w:rPr>
        <w:tab/>
        <w:t xml:space="preserve">Мерките кои се предвидуваат во оваа регулатива се </w:t>
      </w:r>
      <w:r w:rsidR="00F63705">
        <w:rPr>
          <w:lang w:val="mk-MK"/>
        </w:rPr>
        <w:t xml:space="preserve">во согласност со </w:t>
      </w:r>
      <w:r>
        <w:rPr>
          <w:lang w:val="mk-MK"/>
        </w:rPr>
        <w:t>мислењ</w:t>
      </w:r>
      <w:r w:rsidR="00F63705">
        <w:rPr>
          <w:lang w:val="mk-MK"/>
        </w:rPr>
        <w:t xml:space="preserve">ето на Комитетот, кој е основан со член 127(3) </w:t>
      </w:r>
      <w:r>
        <w:rPr>
          <w:lang w:val="mk-MK"/>
        </w:rPr>
        <w:t>од Регулатива (ЕУ) бр. 2018/1139</w:t>
      </w:r>
      <w:r w:rsidR="00881C73">
        <w:rPr>
          <w:lang w:val="mk-MK"/>
        </w:rPr>
        <w:t>,</w:t>
      </w:r>
      <w:r w:rsidRPr="0077004B">
        <w:rPr>
          <w:lang w:val="ru-RU"/>
        </w:rPr>
        <w:t xml:space="preserve"> </w:t>
      </w:r>
    </w:p>
    <w:p w14:paraId="1AF0342D" w14:textId="77777777" w:rsidR="00423E61" w:rsidRDefault="00423E61" w:rsidP="00423E61">
      <w:pPr>
        <w:pStyle w:val="NormalWeb"/>
        <w:tabs>
          <w:tab w:val="left" w:pos="426"/>
        </w:tabs>
        <w:spacing w:before="0" w:beforeAutospacing="0" w:after="0" w:afterAutospacing="0"/>
        <w:ind w:right="429"/>
        <w:jc w:val="both"/>
        <w:rPr>
          <w:lang w:val="en-US"/>
        </w:rPr>
      </w:pPr>
    </w:p>
    <w:p w14:paraId="29100AF4" w14:textId="6780EF55" w:rsidR="00423E61" w:rsidRDefault="00423E61" w:rsidP="006877FB">
      <w:pPr>
        <w:pStyle w:val="NormalWeb"/>
        <w:tabs>
          <w:tab w:val="left" w:pos="426"/>
        </w:tabs>
        <w:spacing w:before="0" w:beforeAutospacing="0" w:after="0" w:afterAutospacing="0"/>
        <w:ind w:right="429"/>
        <w:jc w:val="both"/>
        <w:rPr>
          <w:lang w:val="en-US"/>
        </w:rPr>
      </w:pPr>
    </w:p>
    <w:p w14:paraId="30BB9ADD" w14:textId="77777777" w:rsidR="006877FB" w:rsidRPr="00C85F2F" w:rsidRDefault="006877FB" w:rsidP="006877FB">
      <w:pPr>
        <w:pStyle w:val="NormalWeb"/>
        <w:spacing w:before="0" w:beforeAutospacing="0" w:after="0" w:afterAutospacing="0"/>
        <w:ind w:right="429"/>
        <w:rPr>
          <w:lang w:val="ru-RU"/>
        </w:rPr>
      </w:pPr>
      <w:r w:rsidRPr="005F1EE9">
        <w:rPr>
          <w:lang w:val="mk-MK"/>
        </w:rPr>
        <w:t>ЈА ДОНЕС</w:t>
      </w:r>
      <w:r>
        <w:rPr>
          <w:lang w:val="mk-MK"/>
        </w:rPr>
        <w:t>Е</w:t>
      </w:r>
      <w:r w:rsidRPr="005F1EE9">
        <w:rPr>
          <w:lang w:val="mk-MK"/>
        </w:rPr>
        <w:t xml:space="preserve"> СЛЕДНА</w:t>
      </w:r>
      <w:r>
        <w:rPr>
          <w:lang w:val="mk-MK"/>
        </w:rPr>
        <w:t>Т</w:t>
      </w:r>
      <w:r w:rsidRPr="005F1EE9">
        <w:rPr>
          <w:lang w:val="mk-MK"/>
        </w:rPr>
        <w:t>А РЕГУЛАТИВА:</w:t>
      </w:r>
      <w:r w:rsidRPr="00C85F2F">
        <w:rPr>
          <w:lang w:val="ru-RU"/>
        </w:rPr>
        <w:t xml:space="preserve"> </w:t>
      </w:r>
    </w:p>
    <w:p w14:paraId="2830DFF0" w14:textId="528050B0" w:rsidR="006877FB" w:rsidRDefault="006877FB" w:rsidP="006877FB">
      <w:pPr>
        <w:pStyle w:val="NormalWeb"/>
        <w:spacing w:before="0" w:beforeAutospacing="0" w:after="0" w:afterAutospacing="0"/>
        <w:ind w:right="429"/>
        <w:jc w:val="both"/>
        <w:rPr>
          <w:lang w:val="en-US"/>
        </w:rPr>
      </w:pPr>
    </w:p>
    <w:p w14:paraId="1FA45205" w14:textId="77777777" w:rsidR="004B6EF4" w:rsidRDefault="004B6EF4" w:rsidP="006877FB">
      <w:pPr>
        <w:pStyle w:val="NormalWeb"/>
        <w:spacing w:before="0" w:beforeAutospacing="0" w:after="0" w:afterAutospacing="0"/>
        <w:ind w:right="429"/>
        <w:jc w:val="both"/>
        <w:rPr>
          <w:lang w:val="en-US"/>
        </w:rPr>
      </w:pPr>
    </w:p>
    <w:p w14:paraId="760BB0E2" w14:textId="77777777" w:rsidR="006877FB" w:rsidRPr="00C02312" w:rsidRDefault="006877FB" w:rsidP="006877FB">
      <w:pPr>
        <w:ind w:right="429"/>
        <w:jc w:val="center"/>
        <w:rPr>
          <w:i/>
          <w:sz w:val="24"/>
          <w:szCs w:val="24"/>
          <w:lang w:val="mk-MK"/>
        </w:rPr>
      </w:pPr>
      <w:r w:rsidRPr="00C02312">
        <w:rPr>
          <w:i/>
          <w:sz w:val="24"/>
          <w:szCs w:val="24"/>
          <w:lang w:val="mk-MK"/>
        </w:rPr>
        <w:t>Член 1</w:t>
      </w:r>
    </w:p>
    <w:p w14:paraId="398DBEDF" w14:textId="47A00A19" w:rsidR="006877FB" w:rsidRDefault="006877FB" w:rsidP="006877FB">
      <w:pPr>
        <w:ind w:right="429"/>
        <w:jc w:val="both"/>
        <w:rPr>
          <w:sz w:val="24"/>
          <w:szCs w:val="24"/>
          <w:lang w:val="mk-MK"/>
        </w:rPr>
      </w:pPr>
      <w:r w:rsidRPr="00E52A0E">
        <w:rPr>
          <w:sz w:val="24"/>
          <w:szCs w:val="24"/>
          <w:lang w:val="mk-MK"/>
        </w:rPr>
        <w:t>Регулатива (Е</w:t>
      </w:r>
      <w:r>
        <w:rPr>
          <w:sz w:val="24"/>
          <w:szCs w:val="24"/>
          <w:lang w:val="mk-MK"/>
        </w:rPr>
        <w:t>У</w:t>
      </w:r>
      <w:r w:rsidRPr="00E52A0E">
        <w:rPr>
          <w:sz w:val="24"/>
          <w:szCs w:val="24"/>
          <w:lang w:val="mk-MK"/>
        </w:rPr>
        <w:t xml:space="preserve">) бр. </w:t>
      </w:r>
      <w:r w:rsidR="00F63705">
        <w:rPr>
          <w:sz w:val="24"/>
          <w:szCs w:val="24"/>
          <w:lang w:val="mk-MK"/>
        </w:rPr>
        <w:t>2015/640 се менува и дополнува како што следи:</w:t>
      </w:r>
    </w:p>
    <w:p w14:paraId="0DE032BA" w14:textId="61B03320" w:rsidR="006877FB" w:rsidRDefault="006877FB" w:rsidP="006877FB">
      <w:pPr>
        <w:ind w:right="429"/>
        <w:jc w:val="both"/>
        <w:rPr>
          <w:sz w:val="24"/>
          <w:szCs w:val="24"/>
          <w:lang w:val="mk-MK"/>
        </w:rPr>
      </w:pPr>
    </w:p>
    <w:p w14:paraId="50C2E657" w14:textId="1DD4966E" w:rsidR="008D0444" w:rsidRPr="001A334C" w:rsidRDefault="008D0444" w:rsidP="008D0444">
      <w:pPr>
        <w:tabs>
          <w:tab w:val="left" w:pos="426"/>
        </w:tabs>
        <w:ind w:right="429"/>
        <w:jc w:val="both"/>
        <w:rPr>
          <w:sz w:val="24"/>
          <w:szCs w:val="24"/>
          <w:lang w:val="mk-MK"/>
        </w:rPr>
      </w:pPr>
      <w:r>
        <w:rPr>
          <w:sz w:val="24"/>
          <w:szCs w:val="24"/>
          <w:lang w:val="mk-MK"/>
        </w:rPr>
        <w:t>(1)</w:t>
      </w:r>
      <w:r>
        <w:rPr>
          <w:sz w:val="24"/>
          <w:szCs w:val="24"/>
          <w:lang w:val="mk-MK"/>
        </w:rPr>
        <w:tab/>
        <w:t>Член 2 се менува и дополнува како што следи:</w:t>
      </w:r>
    </w:p>
    <w:p w14:paraId="600B67B4" w14:textId="77777777" w:rsidR="008D0444" w:rsidRPr="0002350F" w:rsidRDefault="008D0444" w:rsidP="008D0444">
      <w:pPr>
        <w:ind w:right="429"/>
        <w:jc w:val="both"/>
        <w:rPr>
          <w:sz w:val="24"/>
          <w:szCs w:val="24"/>
        </w:rPr>
      </w:pPr>
    </w:p>
    <w:p w14:paraId="309644E6" w14:textId="2A9F56EC" w:rsidR="008D0444" w:rsidRPr="007F3305" w:rsidRDefault="008D0444" w:rsidP="008D0444">
      <w:pPr>
        <w:tabs>
          <w:tab w:val="left" w:pos="851"/>
        </w:tabs>
        <w:ind w:left="851" w:right="429" w:hanging="425"/>
        <w:jc w:val="both"/>
        <w:rPr>
          <w:sz w:val="24"/>
          <w:szCs w:val="24"/>
          <w:lang w:val="mk-MK"/>
        </w:rPr>
      </w:pPr>
      <w:r>
        <w:rPr>
          <w:sz w:val="24"/>
          <w:szCs w:val="24"/>
          <w:lang w:val="mk-MK"/>
        </w:rPr>
        <w:t>(а)</w:t>
      </w:r>
      <w:r>
        <w:rPr>
          <w:sz w:val="24"/>
          <w:szCs w:val="24"/>
          <w:lang w:val="mk-MK"/>
        </w:rPr>
        <w:tab/>
      </w:r>
      <w:r w:rsidR="002D5BF4">
        <w:rPr>
          <w:sz w:val="24"/>
          <w:szCs w:val="24"/>
          <w:lang w:val="mk-MK"/>
        </w:rPr>
        <w:t>точка (б) се заменува со следното:</w:t>
      </w:r>
    </w:p>
    <w:p w14:paraId="0FDE0399" w14:textId="77777777" w:rsidR="008D0444" w:rsidRDefault="008D0444" w:rsidP="008D0444">
      <w:pPr>
        <w:ind w:right="429"/>
        <w:rPr>
          <w:sz w:val="24"/>
          <w:szCs w:val="24"/>
        </w:rPr>
      </w:pPr>
    </w:p>
    <w:p w14:paraId="533CC877" w14:textId="2C5D6D78" w:rsidR="008D0444" w:rsidRPr="00EE1349" w:rsidRDefault="002D5BF4" w:rsidP="008D0444">
      <w:pPr>
        <w:tabs>
          <w:tab w:val="left" w:pos="1276"/>
        </w:tabs>
        <w:ind w:left="1276" w:right="429" w:hanging="425"/>
        <w:jc w:val="both"/>
        <w:rPr>
          <w:sz w:val="24"/>
          <w:szCs w:val="24"/>
          <w:lang w:val="mk-MK"/>
        </w:rPr>
      </w:pPr>
      <w:r>
        <w:rPr>
          <w:sz w:val="24"/>
          <w:szCs w:val="24"/>
          <w:lang w:val="en-US"/>
        </w:rPr>
        <w:t>'</w:t>
      </w:r>
      <w:r w:rsidR="008D0444">
        <w:rPr>
          <w:sz w:val="24"/>
          <w:szCs w:val="24"/>
          <w:lang w:val="mk-MK"/>
        </w:rPr>
        <w:t>(</w:t>
      </w:r>
      <w:r>
        <w:rPr>
          <w:sz w:val="24"/>
          <w:szCs w:val="24"/>
          <w:lang w:val="mk-MK"/>
        </w:rPr>
        <w:t>б</w:t>
      </w:r>
      <w:r w:rsidR="008D0444">
        <w:rPr>
          <w:sz w:val="24"/>
          <w:szCs w:val="24"/>
          <w:lang w:val="mk-MK"/>
        </w:rPr>
        <w:t>)</w:t>
      </w:r>
      <w:r w:rsidR="008D0444">
        <w:rPr>
          <w:sz w:val="24"/>
          <w:szCs w:val="24"/>
          <w:lang w:val="mk-MK"/>
        </w:rPr>
        <w:tab/>
      </w:r>
      <w:r>
        <w:rPr>
          <w:sz w:val="24"/>
          <w:szCs w:val="24"/>
          <w:lang w:val="mk-MK"/>
        </w:rPr>
        <w:t xml:space="preserve">„голем </w:t>
      </w:r>
      <w:r w:rsidR="00995949" w:rsidRPr="00C52644">
        <w:rPr>
          <w:color w:val="000000" w:themeColor="text1"/>
          <w:sz w:val="24"/>
          <w:szCs w:val="24"/>
          <w:lang w:val="mk-MK"/>
        </w:rPr>
        <w:t>воздухоплов</w:t>
      </w:r>
      <w:r>
        <w:rPr>
          <w:sz w:val="24"/>
          <w:szCs w:val="24"/>
          <w:lang w:val="mk-MK"/>
        </w:rPr>
        <w:t xml:space="preserve"> (</w:t>
      </w:r>
      <w:r w:rsidRPr="002D5BF4">
        <w:rPr>
          <w:i/>
          <w:iCs/>
          <w:sz w:val="24"/>
          <w:szCs w:val="24"/>
          <w:lang w:val="en-US"/>
        </w:rPr>
        <w:t xml:space="preserve">large </w:t>
      </w:r>
      <w:proofErr w:type="spellStart"/>
      <w:proofErr w:type="gramStart"/>
      <w:r w:rsidRPr="002D5BF4">
        <w:rPr>
          <w:i/>
          <w:iCs/>
          <w:sz w:val="24"/>
          <w:szCs w:val="24"/>
          <w:lang w:val="en-US"/>
        </w:rPr>
        <w:t>aeroplane</w:t>
      </w:r>
      <w:proofErr w:type="spellEnd"/>
      <w:r>
        <w:rPr>
          <w:sz w:val="24"/>
          <w:szCs w:val="24"/>
          <w:lang w:val="mk-MK"/>
        </w:rPr>
        <w:t>)“</w:t>
      </w:r>
      <w:proofErr w:type="gramEnd"/>
      <w:r w:rsidR="00181486">
        <w:rPr>
          <w:sz w:val="24"/>
          <w:szCs w:val="24"/>
          <w:lang w:val="mk-MK"/>
        </w:rPr>
        <w:t xml:space="preserve"> </w:t>
      </w:r>
      <w:r w:rsidR="008D0444">
        <w:rPr>
          <w:sz w:val="24"/>
          <w:szCs w:val="24"/>
          <w:lang w:val="mk-MK"/>
        </w:rPr>
        <w:t xml:space="preserve">е </w:t>
      </w:r>
      <w:r w:rsidR="004C6794">
        <w:rPr>
          <w:sz w:val="24"/>
          <w:szCs w:val="24"/>
          <w:lang w:val="mk-MK"/>
        </w:rPr>
        <w:t>авион, кој во својата основа за издавање на уверение има спецификации за издавање уверение за големи авиони „</w:t>
      </w:r>
      <w:r w:rsidR="004C6794">
        <w:rPr>
          <w:sz w:val="24"/>
          <w:szCs w:val="24"/>
          <w:lang w:val="en-US"/>
        </w:rPr>
        <w:t>CS–25</w:t>
      </w:r>
      <w:r w:rsidR="004C6794">
        <w:rPr>
          <w:sz w:val="24"/>
          <w:szCs w:val="24"/>
          <w:lang w:val="mk-MK"/>
        </w:rPr>
        <w:t>“ или еквивалентни;</w:t>
      </w:r>
      <w:r w:rsidR="004C6794">
        <w:rPr>
          <w:sz w:val="24"/>
          <w:szCs w:val="24"/>
          <w:lang w:val="en-US"/>
        </w:rPr>
        <w:t>'</w:t>
      </w:r>
    </w:p>
    <w:p w14:paraId="5DE36CCC" w14:textId="639974C1" w:rsidR="008D0444" w:rsidRDefault="008D0444" w:rsidP="008D0444">
      <w:pPr>
        <w:ind w:right="429"/>
        <w:jc w:val="both"/>
        <w:rPr>
          <w:sz w:val="24"/>
          <w:szCs w:val="24"/>
          <w:lang w:val="en-US"/>
        </w:rPr>
      </w:pPr>
    </w:p>
    <w:p w14:paraId="27CC2B0D" w14:textId="3DD65C66" w:rsidR="00E5474F" w:rsidRPr="007F3305" w:rsidRDefault="00E5474F" w:rsidP="00E5474F">
      <w:pPr>
        <w:tabs>
          <w:tab w:val="left" w:pos="851"/>
        </w:tabs>
        <w:ind w:left="851" w:right="429" w:hanging="425"/>
        <w:jc w:val="both"/>
        <w:rPr>
          <w:sz w:val="24"/>
          <w:szCs w:val="24"/>
          <w:lang w:val="mk-MK"/>
        </w:rPr>
      </w:pPr>
      <w:r>
        <w:rPr>
          <w:sz w:val="24"/>
          <w:szCs w:val="24"/>
          <w:lang w:val="mk-MK"/>
        </w:rPr>
        <w:t>(б)</w:t>
      </w:r>
      <w:r>
        <w:rPr>
          <w:sz w:val="24"/>
          <w:szCs w:val="24"/>
          <w:lang w:val="mk-MK"/>
        </w:rPr>
        <w:tab/>
        <w:t>се додаваат следните точки (в) и (г):</w:t>
      </w:r>
    </w:p>
    <w:p w14:paraId="5E9C5D53" w14:textId="77777777" w:rsidR="00E5474F" w:rsidRDefault="00E5474F" w:rsidP="00E5474F">
      <w:pPr>
        <w:ind w:right="429"/>
        <w:rPr>
          <w:sz w:val="24"/>
          <w:szCs w:val="24"/>
        </w:rPr>
      </w:pPr>
    </w:p>
    <w:p w14:paraId="2FB51D8F" w14:textId="74543B12" w:rsidR="00E5474F" w:rsidRPr="00EE1349" w:rsidRDefault="00E5474F" w:rsidP="00E5474F">
      <w:pPr>
        <w:tabs>
          <w:tab w:val="left" w:pos="1276"/>
        </w:tabs>
        <w:ind w:left="1276" w:right="429" w:hanging="425"/>
        <w:jc w:val="both"/>
        <w:rPr>
          <w:sz w:val="24"/>
          <w:szCs w:val="24"/>
          <w:lang w:val="mk-MK"/>
        </w:rPr>
      </w:pPr>
      <w:r>
        <w:rPr>
          <w:sz w:val="24"/>
          <w:szCs w:val="24"/>
          <w:lang w:val="en-US"/>
        </w:rPr>
        <w:t>'</w:t>
      </w:r>
      <w:r>
        <w:rPr>
          <w:sz w:val="24"/>
          <w:szCs w:val="24"/>
          <w:lang w:val="mk-MK"/>
        </w:rPr>
        <w:t>(</w:t>
      </w:r>
      <w:r w:rsidR="000B2D1E">
        <w:rPr>
          <w:sz w:val="24"/>
          <w:szCs w:val="24"/>
          <w:lang w:val="mk-MK"/>
        </w:rPr>
        <w:t>в</w:t>
      </w:r>
      <w:r>
        <w:rPr>
          <w:sz w:val="24"/>
          <w:szCs w:val="24"/>
          <w:lang w:val="mk-MK"/>
        </w:rPr>
        <w:t>)</w:t>
      </w:r>
      <w:r>
        <w:rPr>
          <w:sz w:val="24"/>
          <w:szCs w:val="24"/>
          <w:lang w:val="mk-MK"/>
        </w:rPr>
        <w:tab/>
        <w:t xml:space="preserve">„голем </w:t>
      </w:r>
      <w:r w:rsidR="000B2D1E">
        <w:rPr>
          <w:sz w:val="24"/>
          <w:szCs w:val="24"/>
          <w:lang w:val="mk-MK"/>
        </w:rPr>
        <w:t>хеликоптер</w:t>
      </w:r>
      <w:r>
        <w:rPr>
          <w:sz w:val="24"/>
          <w:szCs w:val="24"/>
          <w:lang w:val="mk-MK"/>
        </w:rPr>
        <w:t xml:space="preserve"> (</w:t>
      </w:r>
      <w:r w:rsidRPr="002D5BF4">
        <w:rPr>
          <w:i/>
          <w:iCs/>
          <w:sz w:val="24"/>
          <w:szCs w:val="24"/>
          <w:lang w:val="en-US"/>
        </w:rPr>
        <w:t xml:space="preserve">large </w:t>
      </w:r>
      <w:proofErr w:type="gramStart"/>
      <w:r w:rsidR="000B2D1E">
        <w:rPr>
          <w:i/>
          <w:iCs/>
          <w:sz w:val="24"/>
          <w:szCs w:val="24"/>
          <w:lang w:val="en-US"/>
        </w:rPr>
        <w:t>helicopter</w:t>
      </w:r>
      <w:r>
        <w:rPr>
          <w:sz w:val="24"/>
          <w:szCs w:val="24"/>
          <w:lang w:val="mk-MK"/>
        </w:rPr>
        <w:t>)“</w:t>
      </w:r>
      <w:proofErr w:type="gramEnd"/>
      <w:r w:rsidR="00181486">
        <w:rPr>
          <w:sz w:val="24"/>
          <w:szCs w:val="24"/>
          <w:lang w:val="mk-MK"/>
        </w:rPr>
        <w:t xml:space="preserve"> </w:t>
      </w:r>
      <w:r>
        <w:rPr>
          <w:sz w:val="24"/>
          <w:szCs w:val="24"/>
          <w:lang w:val="mk-MK"/>
        </w:rPr>
        <w:t xml:space="preserve">е </w:t>
      </w:r>
      <w:r w:rsidR="00CE02C4">
        <w:rPr>
          <w:sz w:val="24"/>
          <w:szCs w:val="24"/>
          <w:lang w:val="mk-MK"/>
        </w:rPr>
        <w:t xml:space="preserve">хеликоптер, </w:t>
      </w:r>
      <w:r>
        <w:rPr>
          <w:sz w:val="24"/>
          <w:szCs w:val="24"/>
          <w:lang w:val="mk-MK"/>
        </w:rPr>
        <w:t xml:space="preserve">кој во својата основа за издавање на уверение има спецификации за издавање уверение за големи </w:t>
      </w:r>
      <w:r w:rsidR="00626D1A">
        <w:rPr>
          <w:sz w:val="24"/>
          <w:szCs w:val="24"/>
          <w:lang w:val="mk-MK"/>
        </w:rPr>
        <w:t>хеликоптери</w:t>
      </w:r>
      <w:r>
        <w:rPr>
          <w:sz w:val="24"/>
          <w:szCs w:val="24"/>
          <w:lang w:val="mk-MK"/>
        </w:rPr>
        <w:t>„</w:t>
      </w:r>
      <w:r>
        <w:rPr>
          <w:sz w:val="24"/>
          <w:szCs w:val="24"/>
          <w:lang w:val="en-US"/>
        </w:rPr>
        <w:t>CS–2</w:t>
      </w:r>
      <w:r w:rsidR="004A0A24">
        <w:rPr>
          <w:sz w:val="24"/>
          <w:szCs w:val="24"/>
          <w:lang w:val="en-US"/>
        </w:rPr>
        <w:t>9</w:t>
      </w:r>
      <w:r>
        <w:rPr>
          <w:sz w:val="24"/>
          <w:szCs w:val="24"/>
          <w:lang w:val="mk-MK"/>
        </w:rPr>
        <w:t>“ или еквивалентни;</w:t>
      </w:r>
    </w:p>
    <w:p w14:paraId="523BB9B6" w14:textId="77777777" w:rsidR="00E5474F" w:rsidRDefault="00E5474F" w:rsidP="00E5474F">
      <w:pPr>
        <w:ind w:right="429"/>
        <w:jc w:val="both"/>
        <w:rPr>
          <w:sz w:val="24"/>
          <w:szCs w:val="24"/>
          <w:lang w:val="en-US"/>
        </w:rPr>
      </w:pPr>
    </w:p>
    <w:p w14:paraId="646BA882" w14:textId="6C22C5A7" w:rsidR="00626D1A" w:rsidRPr="00EE1349" w:rsidRDefault="00626D1A" w:rsidP="00626D1A">
      <w:pPr>
        <w:tabs>
          <w:tab w:val="left" w:pos="1276"/>
        </w:tabs>
        <w:ind w:left="1276" w:right="429" w:hanging="425"/>
        <w:jc w:val="both"/>
        <w:rPr>
          <w:sz w:val="24"/>
          <w:szCs w:val="24"/>
          <w:lang w:val="mk-MK"/>
        </w:rPr>
      </w:pPr>
      <w:r>
        <w:rPr>
          <w:sz w:val="24"/>
          <w:szCs w:val="24"/>
          <w:lang w:val="mk-MK"/>
        </w:rPr>
        <w:t>(г)</w:t>
      </w:r>
      <w:r>
        <w:rPr>
          <w:sz w:val="24"/>
          <w:szCs w:val="24"/>
          <w:lang w:val="mk-MK"/>
        </w:rPr>
        <w:tab/>
        <w:t>„</w:t>
      </w:r>
      <w:r w:rsidR="00995949" w:rsidRPr="00C52644">
        <w:rPr>
          <w:color w:val="000000" w:themeColor="text1"/>
          <w:sz w:val="24"/>
          <w:szCs w:val="24"/>
          <w:lang w:val="mk-MK"/>
        </w:rPr>
        <w:t>воздухоплов</w:t>
      </w:r>
      <w:r w:rsidR="00995949" w:rsidRPr="00995949">
        <w:rPr>
          <w:color w:val="0070C0"/>
          <w:sz w:val="24"/>
          <w:szCs w:val="24"/>
          <w:lang w:val="mk-MK"/>
        </w:rPr>
        <w:t xml:space="preserve"> </w:t>
      </w:r>
      <w:r>
        <w:rPr>
          <w:sz w:val="24"/>
          <w:szCs w:val="24"/>
          <w:lang w:val="mk-MK"/>
        </w:rPr>
        <w:t>со помал капацитет за патници (</w:t>
      </w:r>
      <w:r w:rsidRPr="002D5BF4">
        <w:rPr>
          <w:i/>
          <w:iCs/>
          <w:sz w:val="24"/>
          <w:szCs w:val="24"/>
          <w:lang w:val="en-US"/>
        </w:rPr>
        <w:t>l</w:t>
      </w:r>
      <w:r>
        <w:rPr>
          <w:i/>
          <w:iCs/>
          <w:sz w:val="24"/>
          <w:szCs w:val="24"/>
          <w:lang w:val="en-US"/>
        </w:rPr>
        <w:t xml:space="preserve">ow–occupancy </w:t>
      </w:r>
      <w:proofErr w:type="spellStart"/>
      <w:r>
        <w:rPr>
          <w:i/>
          <w:iCs/>
          <w:sz w:val="24"/>
          <w:szCs w:val="24"/>
          <w:lang w:val="en-US"/>
        </w:rPr>
        <w:t>aeroplane</w:t>
      </w:r>
      <w:proofErr w:type="spellEnd"/>
      <w:r>
        <w:rPr>
          <w:sz w:val="24"/>
          <w:szCs w:val="24"/>
          <w:lang w:val="mk-MK"/>
        </w:rPr>
        <w:t xml:space="preserve">)“ е </w:t>
      </w:r>
      <w:r w:rsidR="00F85AFF">
        <w:rPr>
          <w:sz w:val="24"/>
          <w:szCs w:val="24"/>
          <w:lang w:val="mk-MK"/>
        </w:rPr>
        <w:t xml:space="preserve">авион, </w:t>
      </w:r>
      <w:r w:rsidR="00A96AFD">
        <w:rPr>
          <w:sz w:val="24"/>
          <w:szCs w:val="24"/>
          <w:lang w:val="mk-MK"/>
        </w:rPr>
        <w:t xml:space="preserve">со конфигурација од најголем </w:t>
      </w:r>
      <w:r w:rsidR="009125C7">
        <w:rPr>
          <w:sz w:val="24"/>
          <w:szCs w:val="24"/>
          <w:lang w:val="mk-MK"/>
        </w:rPr>
        <w:t xml:space="preserve">број на </w:t>
      </w:r>
      <w:r w:rsidR="00A96AFD">
        <w:rPr>
          <w:sz w:val="24"/>
          <w:szCs w:val="24"/>
          <w:lang w:val="mk-MK"/>
        </w:rPr>
        <w:t>оператив</w:t>
      </w:r>
      <w:r w:rsidR="009125C7">
        <w:rPr>
          <w:sz w:val="24"/>
          <w:szCs w:val="24"/>
          <w:lang w:val="mk-MK"/>
        </w:rPr>
        <w:t xml:space="preserve">ни </w:t>
      </w:r>
      <w:r w:rsidR="00A96AFD">
        <w:rPr>
          <w:sz w:val="24"/>
          <w:szCs w:val="24"/>
          <w:lang w:val="mk-MK"/>
        </w:rPr>
        <w:t>патнички седишта</w:t>
      </w:r>
      <w:r w:rsidR="00807F0D">
        <w:rPr>
          <w:sz w:val="24"/>
          <w:szCs w:val="24"/>
          <w:lang w:val="mk-MK"/>
        </w:rPr>
        <w:t>:</w:t>
      </w:r>
    </w:p>
    <w:p w14:paraId="112C7E7D" w14:textId="77777777" w:rsidR="00626D1A" w:rsidRDefault="00626D1A" w:rsidP="00626D1A">
      <w:pPr>
        <w:ind w:right="429"/>
        <w:jc w:val="both"/>
        <w:rPr>
          <w:sz w:val="24"/>
          <w:szCs w:val="24"/>
          <w:lang w:val="en-US"/>
        </w:rPr>
      </w:pPr>
    </w:p>
    <w:p w14:paraId="6EFADBD6" w14:textId="4508D9DB" w:rsidR="003074D4" w:rsidRPr="00D84895" w:rsidRDefault="003074D4" w:rsidP="003074D4">
      <w:pPr>
        <w:tabs>
          <w:tab w:val="left" w:pos="1701"/>
        </w:tabs>
        <w:ind w:left="1276" w:right="429"/>
        <w:jc w:val="both"/>
        <w:rPr>
          <w:sz w:val="24"/>
          <w:szCs w:val="24"/>
          <w:lang w:val="mk-MK"/>
        </w:rPr>
      </w:pPr>
      <w:r>
        <w:rPr>
          <w:sz w:val="24"/>
          <w:szCs w:val="24"/>
          <w:lang w:val="mk-MK"/>
        </w:rPr>
        <w:t>(1)</w:t>
      </w:r>
      <w:r>
        <w:rPr>
          <w:sz w:val="24"/>
          <w:szCs w:val="24"/>
          <w:lang w:val="mk-MK"/>
        </w:rPr>
        <w:tab/>
      </w:r>
      <w:r w:rsidR="00E270D1">
        <w:rPr>
          <w:sz w:val="24"/>
          <w:szCs w:val="24"/>
          <w:lang w:val="mk-MK"/>
        </w:rPr>
        <w:t>до 19 и вклучително 19 седишта, или;</w:t>
      </w:r>
    </w:p>
    <w:p w14:paraId="28D093AF" w14:textId="77777777" w:rsidR="003074D4" w:rsidRPr="00F94C2D" w:rsidRDefault="003074D4" w:rsidP="003074D4">
      <w:pPr>
        <w:ind w:right="429"/>
        <w:jc w:val="both"/>
        <w:rPr>
          <w:sz w:val="24"/>
          <w:szCs w:val="24"/>
          <w:lang w:val="mk-MK"/>
        </w:rPr>
      </w:pPr>
    </w:p>
    <w:p w14:paraId="64BE6CA0" w14:textId="503B878A" w:rsidR="003074D4" w:rsidRPr="007C0EBC" w:rsidRDefault="003074D4" w:rsidP="003074D4">
      <w:pPr>
        <w:tabs>
          <w:tab w:val="left" w:pos="1701"/>
        </w:tabs>
        <w:ind w:left="1701" w:right="429" w:hanging="425"/>
        <w:jc w:val="both"/>
        <w:rPr>
          <w:sz w:val="24"/>
          <w:szCs w:val="24"/>
          <w:lang w:val="mk-MK"/>
        </w:rPr>
      </w:pPr>
      <w:r>
        <w:rPr>
          <w:sz w:val="24"/>
          <w:szCs w:val="24"/>
          <w:lang w:val="mk-MK"/>
        </w:rPr>
        <w:t>(2)</w:t>
      </w:r>
      <w:r>
        <w:rPr>
          <w:sz w:val="24"/>
          <w:szCs w:val="24"/>
          <w:lang w:val="mk-MK"/>
        </w:rPr>
        <w:tab/>
      </w:r>
      <w:r w:rsidR="00A62459">
        <w:rPr>
          <w:sz w:val="24"/>
          <w:szCs w:val="24"/>
          <w:lang w:val="mk-MK"/>
        </w:rPr>
        <w:t xml:space="preserve">до и вклучувајќи една третина од максималниот капацитет на патнички седишта за авион со уверение за тип, </w:t>
      </w:r>
      <w:r w:rsidR="00594274">
        <w:rPr>
          <w:sz w:val="24"/>
          <w:szCs w:val="24"/>
          <w:lang w:val="mk-MK"/>
        </w:rPr>
        <w:t>како што е наведено во</w:t>
      </w:r>
      <w:r w:rsidR="007C0EBC">
        <w:rPr>
          <w:sz w:val="24"/>
          <w:szCs w:val="24"/>
          <w:lang w:val="mk-MK"/>
        </w:rPr>
        <w:t xml:space="preserve"> техничките податоците</w:t>
      </w:r>
      <w:r w:rsidR="00594274">
        <w:rPr>
          <w:sz w:val="24"/>
          <w:szCs w:val="24"/>
          <w:lang w:val="mk-MK"/>
        </w:rPr>
        <w:t xml:space="preserve"> </w:t>
      </w:r>
      <w:r w:rsidR="007C0EBC">
        <w:rPr>
          <w:sz w:val="24"/>
          <w:szCs w:val="24"/>
          <w:lang w:val="en-US"/>
        </w:rPr>
        <w:t>(</w:t>
      </w:r>
      <w:r w:rsidR="007C0EBC">
        <w:rPr>
          <w:sz w:val="24"/>
          <w:szCs w:val="24"/>
          <w:lang w:val="mk-MK"/>
        </w:rPr>
        <w:t>официјална спецификација на холмологиран тип</w:t>
      </w:r>
      <w:r w:rsidR="003557BA">
        <w:rPr>
          <w:sz w:val="24"/>
          <w:szCs w:val="24"/>
          <w:lang w:val="mk-MK"/>
        </w:rPr>
        <w:t>)</w:t>
      </w:r>
      <w:r w:rsidR="007C0EBC">
        <w:rPr>
          <w:sz w:val="24"/>
          <w:szCs w:val="24"/>
          <w:lang w:val="mk-MK"/>
        </w:rPr>
        <w:t xml:space="preserve"> </w:t>
      </w:r>
      <w:r w:rsidR="007C0EBC">
        <w:rPr>
          <w:sz w:val="24"/>
          <w:szCs w:val="24"/>
          <w:lang w:val="en-US"/>
        </w:rPr>
        <w:t xml:space="preserve">(TCDS), </w:t>
      </w:r>
      <w:r w:rsidR="007C0EBC">
        <w:rPr>
          <w:sz w:val="24"/>
          <w:szCs w:val="24"/>
          <w:lang w:val="mk-MK"/>
        </w:rPr>
        <w:t>под услов дека се исполнети и двата од следните услови:</w:t>
      </w:r>
      <w:r w:rsidR="007C0EBC">
        <w:rPr>
          <w:sz w:val="24"/>
          <w:szCs w:val="24"/>
          <w:lang w:val="en-US"/>
        </w:rPr>
        <w:t xml:space="preserve"> </w:t>
      </w:r>
    </w:p>
    <w:p w14:paraId="785A1DF9" w14:textId="77777777" w:rsidR="003074D4" w:rsidRDefault="003074D4" w:rsidP="003074D4">
      <w:pPr>
        <w:ind w:right="429"/>
        <w:jc w:val="both"/>
        <w:rPr>
          <w:sz w:val="24"/>
          <w:szCs w:val="24"/>
        </w:rPr>
      </w:pPr>
    </w:p>
    <w:p w14:paraId="11210D66" w14:textId="4A0E27AA" w:rsidR="00E5474F" w:rsidRDefault="000B033E" w:rsidP="009D3EAF">
      <w:pPr>
        <w:tabs>
          <w:tab w:val="left" w:pos="2127"/>
        </w:tabs>
        <w:ind w:left="2127" w:right="429" w:hanging="426"/>
        <w:jc w:val="both"/>
        <w:rPr>
          <w:sz w:val="24"/>
          <w:szCs w:val="24"/>
          <w:lang w:val="en-US"/>
        </w:rPr>
      </w:pPr>
      <w:r>
        <w:rPr>
          <w:sz w:val="24"/>
          <w:szCs w:val="24"/>
          <w:lang w:val="en-US"/>
        </w:rPr>
        <w:t>(a)</w:t>
      </w:r>
      <w:r>
        <w:rPr>
          <w:sz w:val="24"/>
          <w:szCs w:val="24"/>
          <w:lang w:val="en-US"/>
        </w:rPr>
        <w:tab/>
      </w:r>
      <w:r w:rsidR="009D3EAF">
        <w:rPr>
          <w:sz w:val="24"/>
          <w:szCs w:val="24"/>
          <w:lang w:val="mk-MK"/>
        </w:rPr>
        <w:t>одобрениот вкупен број на патнички седишта, на кои може да се седи за време на возење по земја, полетување или слетување не е поголем од 100 по палуба;</w:t>
      </w:r>
    </w:p>
    <w:p w14:paraId="1BE70635" w14:textId="08E5E996" w:rsidR="003074D4" w:rsidRDefault="003074D4" w:rsidP="008D0444">
      <w:pPr>
        <w:ind w:right="429"/>
        <w:jc w:val="both"/>
        <w:rPr>
          <w:sz w:val="24"/>
          <w:szCs w:val="24"/>
          <w:lang w:val="en-US"/>
        </w:rPr>
      </w:pPr>
    </w:p>
    <w:p w14:paraId="1139C457" w14:textId="13466908" w:rsidR="001E3794" w:rsidRDefault="00593EEE" w:rsidP="00DA5B7B">
      <w:pPr>
        <w:tabs>
          <w:tab w:val="left" w:pos="2127"/>
        </w:tabs>
        <w:ind w:left="2127" w:right="429" w:hanging="426"/>
        <w:jc w:val="both"/>
        <w:rPr>
          <w:sz w:val="24"/>
          <w:szCs w:val="24"/>
          <w:lang w:val="mk-MK"/>
        </w:rPr>
      </w:pPr>
      <w:r>
        <w:rPr>
          <w:sz w:val="24"/>
          <w:szCs w:val="24"/>
          <w:lang w:val="en-US"/>
        </w:rPr>
        <w:t>(</w:t>
      </w:r>
      <w:r w:rsidR="00881C73">
        <w:rPr>
          <w:sz w:val="24"/>
          <w:szCs w:val="24"/>
          <w:lang w:val="mk-MK"/>
        </w:rPr>
        <w:t>б</w:t>
      </w:r>
      <w:r>
        <w:rPr>
          <w:sz w:val="24"/>
          <w:szCs w:val="24"/>
          <w:lang w:val="en-US"/>
        </w:rPr>
        <w:t>)</w:t>
      </w:r>
      <w:r>
        <w:rPr>
          <w:sz w:val="24"/>
          <w:szCs w:val="24"/>
          <w:lang w:val="en-US"/>
        </w:rPr>
        <w:tab/>
      </w:r>
      <w:r w:rsidR="009125C7">
        <w:rPr>
          <w:sz w:val="24"/>
          <w:szCs w:val="24"/>
          <w:lang w:val="mk-MK"/>
        </w:rPr>
        <w:t>конфигурација</w:t>
      </w:r>
      <w:r w:rsidR="00AB721A">
        <w:rPr>
          <w:sz w:val="24"/>
          <w:szCs w:val="24"/>
          <w:lang w:val="mk-MK"/>
        </w:rPr>
        <w:t>та</w:t>
      </w:r>
      <w:r w:rsidR="009125C7">
        <w:rPr>
          <w:sz w:val="24"/>
          <w:szCs w:val="24"/>
          <w:lang w:val="mk-MK"/>
        </w:rPr>
        <w:t xml:space="preserve"> со најголем број на оперативни патнички седишта</w:t>
      </w:r>
      <w:r w:rsidR="00AB721A">
        <w:rPr>
          <w:sz w:val="24"/>
          <w:szCs w:val="24"/>
          <w:lang w:val="mk-MK"/>
        </w:rPr>
        <w:t xml:space="preserve"> за време на возење по земја, полетување или слетување </w:t>
      </w:r>
      <w:r w:rsidR="00AB721A">
        <w:rPr>
          <w:sz w:val="24"/>
          <w:szCs w:val="24"/>
          <w:lang w:val="mk-MK"/>
        </w:rPr>
        <w:lastRenderedPageBreak/>
        <w:t xml:space="preserve">во секоја поединечна зона помеѓу паровите на излезите во случај на опасност (или во која било крајна зона) не надминува една третина од збирот на дозволените патнички седишта за паровите на излезите во случај на опасност, кои ја </w:t>
      </w:r>
      <w:r w:rsidR="001E3794">
        <w:rPr>
          <w:sz w:val="24"/>
          <w:szCs w:val="24"/>
          <w:lang w:val="mk-MK"/>
        </w:rPr>
        <w:t>ограничуваат таа зона (</w:t>
      </w:r>
      <w:r w:rsidR="00011DF3">
        <w:rPr>
          <w:sz w:val="24"/>
          <w:szCs w:val="24"/>
          <w:lang w:val="mk-MK"/>
        </w:rPr>
        <w:t>користејќи го бројот на дозволените патнички седишта за секој пар на излез во случај на опасност, како што е дефинирано</w:t>
      </w:r>
      <w:r w:rsidR="00DA5B7B">
        <w:rPr>
          <w:sz w:val="24"/>
          <w:szCs w:val="24"/>
          <w:lang w:val="mk-MK"/>
        </w:rPr>
        <w:t xml:space="preserve"> со важечката основа за издавање на уверение на авион). За потребите на утврдување на придржувањето кон ова ограничување на зоните, во случај на </w:t>
      </w:r>
      <w:r w:rsidR="00995949" w:rsidRPr="00C52644">
        <w:rPr>
          <w:color w:val="000000" w:themeColor="text1"/>
          <w:sz w:val="24"/>
          <w:szCs w:val="24"/>
          <w:lang w:val="mk-MK"/>
        </w:rPr>
        <w:t xml:space="preserve">воздухоплов </w:t>
      </w:r>
      <w:r w:rsidR="00DA5B7B">
        <w:rPr>
          <w:sz w:val="24"/>
          <w:szCs w:val="24"/>
          <w:lang w:val="mk-MK"/>
        </w:rPr>
        <w:t xml:space="preserve">чии излези во случај на опасност се деактивирани, се смета дека сите излези </w:t>
      </w:r>
      <w:r w:rsidR="003557BA">
        <w:rPr>
          <w:sz w:val="24"/>
          <w:szCs w:val="24"/>
          <w:lang w:val="mk-MK"/>
        </w:rPr>
        <w:t>во</w:t>
      </w:r>
      <w:r w:rsidR="00DA5B7B">
        <w:rPr>
          <w:sz w:val="24"/>
          <w:szCs w:val="24"/>
          <w:lang w:val="mk-MK"/>
        </w:rPr>
        <w:t xml:space="preserve"> случај на опасност се во функција.</w:t>
      </w:r>
      <w:r w:rsidR="00DA5B7B">
        <w:rPr>
          <w:sz w:val="24"/>
          <w:szCs w:val="24"/>
          <w:lang w:val="en-US"/>
        </w:rPr>
        <w:t>'</w:t>
      </w:r>
    </w:p>
    <w:p w14:paraId="0C4C2999" w14:textId="60E49365" w:rsidR="00DA5B7B" w:rsidRDefault="00DA5B7B" w:rsidP="00DA5B7B">
      <w:pPr>
        <w:tabs>
          <w:tab w:val="left" w:pos="2127"/>
        </w:tabs>
        <w:ind w:right="429"/>
        <w:jc w:val="both"/>
        <w:rPr>
          <w:sz w:val="24"/>
          <w:szCs w:val="24"/>
          <w:lang w:val="mk-MK"/>
        </w:rPr>
      </w:pPr>
    </w:p>
    <w:p w14:paraId="6E7297EC" w14:textId="209BBD74" w:rsidR="008D0444" w:rsidRDefault="004160E6" w:rsidP="00250A64">
      <w:pPr>
        <w:tabs>
          <w:tab w:val="left" w:pos="426"/>
        </w:tabs>
        <w:ind w:right="429"/>
        <w:jc w:val="both"/>
        <w:rPr>
          <w:sz w:val="24"/>
          <w:szCs w:val="24"/>
        </w:rPr>
      </w:pPr>
      <w:r>
        <w:rPr>
          <w:sz w:val="24"/>
          <w:szCs w:val="24"/>
          <w:lang w:val="mk-MK"/>
        </w:rPr>
        <w:t>(2)</w:t>
      </w:r>
      <w:r>
        <w:rPr>
          <w:sz w:val="24"/>
          <w:szCs w:val="24"/>
          <w:lang w:val="mk-MK"/>
        </w:rPr>
        <w:tab/>
        <w:t xml:space="preserve">Анекс </w:t>
      </w:r>
      <w:r>
        <w:rPr>
          <w:sz w:val="24"/>
          <w:szCs w:val="24"/>
          <w:lang w:val="en-US"/>
        </w:rPr>
        <w:t>I</w:t>
      </w:r>
      <w:r>
        <w:rPr>
          <w:sz w:val="24"/>
          <w:szCs w:val="24"/>
          <w:lang w:val="mk-MK"/>
        </w:rPr>
        <w:t xml:space="preserve"> (Дел–26) </w:t>
      </w:r>
      <w:r w:rsidR="00250A64">
        <w:rPr>
          <w:sz w:val="24"/>
          <w:szCs w:val="24"/>
          <w:lang w:val="mk-MK"/>
        </w:rPr>
        <w:t>се менува и дополнува согласно Анексот кон оваа регулатива.</w:t>
      </w:r>
      <w:r w:rsidR="00250A64">
        <w:rPr>
          <w:sz w:val="24"/>
          <w:szCs w:val="24"/>
        </w:rPr>
        <w:t xml:space="preserve"> </w:t>
      </w:r>
    </w:p>
    <w:p w14:paraId="3FA64EDB" w14:textId="2A13B2E6" w:rsidR="00F63705" w:rsidRPr="008D0444" w:rsidRDefault="00F63705" w:rsidP="006877FB">
      <w:pPr>
        <w:ind w:right="429"/>
        <w:jc w:val="both"/>
        <w:rPr>
          <w:sz w:val="24"/>
          <w:szCs w:val="24"/>
          <w:lang w:val="mk-MK"/>
        </w:rPr>
      </w:pPr>
    </w:p>
    <w:p w14:paraId="6D06C882" w14:textId="77777777" w:rsidR="006877FB" w:rsidRDefault="006877FB" w:rsidP="006877FB">
      <w:pPr>
        <w:tabs>
          <w:tab w:val="left" w:pos="426"/>
        </w:tabs>
        <w:ind w:right="429"/>
        <w:jc w:val="both"/>
        <w:rPr>
          <w:sz w:val="24"/>
          <w:szCs w:val="24"/>
          <w:lang w:val="mk-MK"/>
        </w:rPr>
      </w:pPr>
    </w:p>
    <w:p w14:paraId="3847133F" w14:textId="77777777" w:rsidR="006877FB" w:rsidRPr="00C02312" w:rsidRDefault="006877FB" w:rsidP="006877FB">
      <w:pPr>
        <w:ind w:right="429"/>
        <w:jc w:val="center"/>
        <w:rPr>
          <w:i/>
          <w:sz w:val="24"/>
          <w:szCs w:val="24"/>
          <w:lang w:val="mk-MK"/>
        </w:rPr>
      </w:pPr>
      <w:r w:rsidRPr="00C02312">
        <w:rPr>
          <w:i/>
          <w:sz w:val="24"/>
          <w:szCs w:val="24"/>
          <w:lang w:val="mk-MK"/>
        </w:rPr>
        <w:t xml:space="preserve">Член </w:t>
      </w:r>
      <w:r>
        <w:rPr>
          <w:i/>
          <w:sz w:val="24"/>
          <w:szCs w:val="24"/>
          <w:lang w:val="mk-MK"/>
        </w:rPr>
        <w:t>2</w:t>
      </w:r>
    </w:p>
    <w:p w14:paraId="19BA20A5" w14:textId="77777777" w:rsidR="006877FB" w:rsidRDefault="006877FB" w:rsidP="006877FB">
      <w:pPr>
        <w:ind w:right="429"/>
        <w:jc w:val="both"/>
        <w:rPr>
          <w:sz w:val="24"/>
          <w:szCs w:val="24"/>
          <w:lang w:val="mk-MK"/>
        </w:rPr>
      </w:pPr>
      <w:r>
        <w:rPr>
          <w:sz w:val="24"/>
          <w:szCs w:val="24"/>
          <w:lang w:val="mk-MK"/>
        </w:rPr>
        <w:t>Оваа р</w:t>
      </w:r>
      <w:r w:rsidRPr="00C02312">
        <w:rPr>
          <w:sz w:val="24"/>
          <w:szCs w:val="24"/>
          <w:lang w:val="mk-MK"/>
        </w:rPr>
        <w:t xml:space="preserve">егулатива </w:t>
      </w:r>
      <w:r>
        <w:rPr>
          <w:sz w:val="24"/>
          <w:szCs w:val="24"/>
          <w:lang w:val="mk-MK"/>
        </w:rPr>
        <w:t xml:space="preserve">влегува во сила на дваесеттиот ден од денот на нејзиното објавување во </w:t>
      </w:r>
      <w:r>
        <w:rPr>
          <w:i/>
          <w:sz w:val="24"/>
          <w:szCs w:val="24"/>
          <w:lang w:val="mk-MK"/>
        </w:rPr>
        <w:t>Службениот весник на Европската унија</w:t>
      </w:r>
      <w:r>
        <w:rPr>
          <w:sz w:val="24"/>
          <w:szCs w:val="24"/>
          <w:lang w:val="mk-MK"/>
        </w:rPr>
        <w:t>.</w:t>
      </w:r>
    </w:p>
    <w:p w14:paraId="14831BBB" w14:textId="77777777" w:rsidR="006877FB" w:rsidRDefault="006877FB" w:rsidP="006877FB">
      <w:pPr>
        <w:ind w:right="429"/>
        <w:jc w:val="both"/>
        <w:rPr>
          <w:sz w:val="24"/>
          <w:szCs w:val="24"/>
          <w:lang w:val="mk-MK"/>
        </w:rPr>
      </w:pPr>
    </w:p>
    <w:p w14:paraId="04CB9AD8" w14:textId="77777777" w:rsidR="006877FB" w:rsidRPr="007820AA" w:rsidRDefault="006877FB" w:rsidP="006877FB">
      <w:pPr>
        <w:ind w:right="431"/>
        <w:jc w:val="both"/>
        <w:rPr>
          <w:sz w:val="24"/>
          <w:szCs w:val="24"/>
          <w:lang w:val="mk-MK"/>
        </w:rPr>
      </w:pPr>
    </w:p>
    <w:p w14:paraId="12001601" w14:textId="74506B30" w:rsidR="006877FB" w:rsidRPr="007820AA" w:rsidRDefault="006877FB" w:rsidP="002B7201">
      <w:pPr>
        <w:ind w:right="571"/>
        <w:jc w:val="both"/>
        <w:rPr>
          <w:sz w:val="24"/>
          <w:szCs w:val="24"/>
          <w:lang w:val="mk-MK"/>
        </w:rPr>
      </w:pPr>
      <w:r w:rsidRPr="007820AA">
        <w:rPr>
          <w:rFonts w:eastAsia="MyriadPro-Regular"/>
          <w:sz w:val="24"/>
          <w:szCs w:val="24"/>
          <w:lang w:val="mk-MK"/>
        </w:rPr>
        <w:t>Оваа регулатива е целосно обврзувачка и директно применлива во сите земји</w:t>
      </w:r>
      <w:r w:rsidR="00DA62A1">
        <w:rPr>
          <w:rFonts w:eastAsia="MyriadPro-Regular"/>
          <w:sz w:val="24"/>
          <w:szCs w:val="24"/>
          <w:lang w:val="mk-MK"/>
        </w:rPr>
        <w:t xml:space="preserve"> </w:t>
      </w:r>
      <w:r w:rsidRPr="007820AA">
        <w:rPr>
          <w:rFonts w:eastAsia="MyriadPro-Regular"/>
          <w:sz w:val="24"/>
          <w:szCs w:val="24"/>
          <w:lang w:val="mk-MK"/>
        </w:rPr>
        <w:t>членки</w:t>
      </w:r>
      <w:r w:rsidR="00881C73">
        <w:rPr>
          <w:rFonts w:eastAsia="MyriadPro-Regular"/>
          <w:sz w:val="24"/>
          <w:szCs w:val="24"/>
          <w:lang w:val="mk-MK"/>
        </w:rPr>
        <w:t>.</w:t>
      </w:r>
    </w:p>
    <w:p w14:paraId="2858ED6C" w14:textId="77777777" w:rsidR="006877FB" w:rsidRDefault="006877FB" w:rsidP="006877FB">
      <w:pPr>
        <w:tabs>
          <w:tab w:val="left" w:pos="567"/>
        </w:tabs>
        <w:ind w:right="571"/>
        <w:jc w:val="both"/>
        <w:rPr>
          <w:sz w:val="24"/>
          <w:szCs w:val="24"/>
          <w:lang w:val="mk-MK"/>
        </w:rPr>
      </w:pPr>
    </w:p>
    <w:p w14:paraId="7698FF87" w14:textId="77777777" w:rsidR="006877FB" w:rsidRDefault="006877FB" w:rsidP="006877FB">
      <w:pPr>
        <w:tabs>
          <w:tab w:val="left" w:pos="567"/>
        </w:tabs>
        <w:ind w:right="571"/>
        <w:jc w:val="both"/>
        <w:rPr>
          <w:sz w:val="24"/>
          <w:szCs w:val="24"/>
          <w:lang w:val="mk-MK"/>
        </w:rPr>
      </w:pPr>
    </w:p>
    <w:p w14:paraId="668FE031" w14:textId="578294EB" w:rsidR="006877FB" w:rsidRDefault="006877FB" w:rsidP="006877FB">
      <w:pPr>
        <w:tabs>
          <w:tab w:val="left" w:pos="567"/>
        </w:tabs>
        <w:ind w:right="571"/>
        <w:rPr>
          <w:sz w:val="24"/>
          <w:szCs w:val="24"/>
          <w:lang w:val="mk-MK"/>
        </w:rPr>
      </w:pPr>
      <w:r>
        <w:rPr>
          <w:sz w:val="24"/>
          <w:szCs w:val="24"/>
          <w:lang w:val="mk-MK"/>
        </w:rPr>
        <w:t xml:space="preserve">Брисел, </w:t>
      </w:r>
      <w:r w:rsidR="00C048A0">
        <w:rPr>
          <w:sz w:val="24"/>
          <w:szCs w:val="24"/>
          <w:lang w:val="mk-MK"/>
        </w:rPr>
        <w:t xml:space="preserve">28 јануари </w:t>
      </w:r>
      <w:r>
        <w:rPr>
          <w:sz w:val="24"/>
          <w:szCs w:val="24"/>
          <w:lang w:val="mk-MK"/>
        </w:rPr>
        <w:t>201</w:t>
      </w:r>
      <w:r w:rsidR="00C048A0">
        <w:rPr>
          <w:sz w:val="24"/>
          <w:szCs w:val="24"/>
          <w:lang w:val="mk-MK"/>
        </w:rPr>
        <w:t>9</w:t>
      </w:r>
      <w:r>
        <w:rPr>
          <w:sz w:val="24"/>
          <w:szCs w:val="24"/>
          <w:lang w:val="mk-MK"/>
        </w:rPr>
        <w:t xml:space="preserve"> </w:t>
      </w:r>
      <w:r w:rsidRPr="007820AA">
        <w:rPr>
          <w:sz w:val="24"/>
          <w:szCs w:val="24"/>
          <w:lang w:val="mk-MK"/>
        </w:rPr>
        <w:t>година.</w:t>
      </w:r>
    </w:p>
    <w:p w14:paraId="3898A546" w14:textId="77777777" w:rsidR="006877FB" w:rsidRPr="007820AA" w:rsidRDefault="006877FB" w:rsidP="006877FB">
      <w:pPr>
        <w:tabs>
          <w:tab w:val="left" w:pos="567"/>
        </w:tabs>
        <w:ind w:right="571"/>
        <w:jc w:val="both"/>
        <w:rPr>
          <w:i/>
          <w:sz w:val="24"/>
          <w:szCs w:val="24"/>
          <w:lang w:val="mk-MK"/>
        </w:rPr>
      </w:pPr>
      <w:r w:rsidRPr="007820AA">
        <w:rPr>
          <w:sz w:val="24"/>
          <w:szCs w:val="24"/>
          <w:lang w:val="mk-MK"/>
        </w:rPr>
        <w:tab/>
      </w:r>
      <w:r w:rsidRPr="007820AA">
        <w:rPr>
          <w:sz w:val="24"/>
          <w:szCs w:val="24"/>
          <w:lang w:val="mk-MK"/>
        </w:rPr>
        <w:tab/>
      </w:r>
      <w:r>
        <w:rPr>
          <w:sz w:val="24"/>
          <w:szCs w:val="24"/>
          <w:lang w:val="mk-MK"/>
        </w:rPr>
        <w:tab/>
      </w:r>
      <w:r>
        <w:rPr>
          <w:sz w:val="24"/>
          <w:szCs w:val="24"/>
          <w:lang w:val="mk-MK"/>
        </w:rPr>
        <w:tab/>
      </w:r>
      <w:r>
        <w:rPr>
          <w:sz w:val="24"/>
          <w:szCs w:val="24"/>
          <w:lang w:val="mk-MK"/>
        </w:rPr>
        <w:tab/>
      </w:r>
      <w:r w:rsidRPr="007820AA">
        <w:rPr>
          <w:sz w:val="24"/>
          <w:szCs w:val="24"/>
          <w:lang w:val="mk-MK"/>
        </w:rPr>
        <w:tab/>
      </w:r>
      <w:r w:rsidRPr="007820AA">
        <w:rPr>
          <w:sz w:val="24"/>
          <w:szCs w:val="24"/>
          <w:lang w:val="mk-MK"/>
        </w:rPr>
        <w:tab/>
      </w:r>
      <w:r w:rsidRPr="007820AA">
        <w:rPr>
          <w:sz w:val="24"/>
          <w:szCs w:val="24"/>
          <w:lang w:val="mk-MK"/>
        </w:rPr>
        <w:tab/>
      </w:r>
      <w:r w:rsidRPr="007820AA">
        <w:rPr>
          <w:sz w:val="24"/>
          <w:szCs w:val="24"/>
          <w:lang w:val="mk-MK"/>
        </w:rPr>
        <w:tab/>
      </w:r>
      <w:r w:rsidRPr="007820AA">
        <w:rPr>
          <w:i/>
          <w:sz w:val="24"/>
          <w:szCs w:val="24"/>
          <w:lang w:val="mk-MK"/>
        </w:rPr>
        <w:t xml:space="preserve">За </w:t>
      </w:r>
      <w:r>
        <w:rPr>
          <w:i/>
          <w:sz w:val="24"/>
          <w:szCs w:val="24"/>
          <w:lang w:val="mk-MK"/>
        </w:rPr>
        <w:t>Комисијата</w:t>
      </w:r>
    </w:p>
    <w:p w14:paraId="5309305E" w14:textId="77777777" w:rsidR="006877FB" w:rsidRPr="007820AA" w:rsidRDefault="006877FB" w:rsidP="006877FB">
      <w:pPr>
        <w:tabs>
          <w:tab w:val="left" w:pos="567"/>
        </w:tabs>
        <w:ind w:right="571"/>
        <w:jc w:val="both"/>
        <w:rPr>
          <w:i/>
          <w:sz w:val="24"/>
          <w:szCs w:val="24"/>
          <w:lang w:val="mk-MK"/>
        </w:rPr>
      </w:pPr>
      <w:r w:rsidRPr="007820AA">
        <w:rPr>
          <w:sz w:val="24"/>
          <w:szCs w:val="24"/>
          <w:lang w:val="mk-MK"/>
        </w:rPr>
        <w:tab/>
      </w:r>
      <w:r w:rsidRPr="007820AA">
        <w:rPr>
          <w:sz w:val="24"/>
          <w:szCs w:val="24"/>
          <w:lang w:val="mk-MK"/>
        </w:rPr>
        <w:tab/>
      </w:r>
      <w:r w:rsidRPr="007820AA">
        <w:rPr>
          <w:sz w:val="24"/>
          <w:szCs w:val="24"/>
          <w:lang w:val="mk-MK"/>
        </w:rPr>
        <w:tab/>
      </w:r>
      <w:r>
        <w:rPr>
          <w:i/>
          <w:iCs/>
          <w:sz w:val="24"/>
          <w:szCs w:val="24"/>
          <w:lang w:val="mk-MK"/>
        </w:rPr>
        <w:tab/>
      </w:r>
      <w:r w:rsidRPr="007820AA">
        <w:rPr>
          <w:sz w:val="24"/>
          <w:szCs w:val="24"/>
          <w:lang w:val="mk-MK"/>
        </w:rPr>
        <w:tab/>
      </w:r>
      <w:r w:rsidRPr="007820AA">
        <w:rPr>
          <w:sz w:val="24"/>
          <w:szCs w:val="24"/>
          <w:lang w:val="mk-MK"/>
        </w:rPr>
        <w:tab/>
      </w:r>
      <w:r w:rsidRPr="007820AA">
        <w:rPr>
          <w:sz w:val="24"/>
          <w:szCs w:val="24"/>
          <w:lang w:val="mk-MK"/>
        </w:rPr>
        <w:tab/>
      </w:r>
      <w:r w:rsidRPr="007820AA">
        <w:rPr>
          <w:sz w:val="24"/>
          <w:szCs w:val="24"/>
          <w:lang w:val="mk-MK"/>
        </w:rPr>
        <w:tab/>
      </w:r>
      <w:r>
        <w:rPr>
          <w:i/>
          <w:sz w:val="24"/>
          <w:szCs w:val="24"/>
          <w:lang w:val="mk-MK"/>
        </w:rPr>
        <w:tab/>
      </w:r>
      <w:r w:rsidRPr="007820AA">
        <w:rPr>
          <w:i/>
          <w:sz w:val="24"/>
          <w:szCs w:val="24"/>
          <w:lang w:val="mk-MK"/>
        </w:rPr>
        <w:t>Претседател</w:t>
      </w:r>
    </w:p>
    <w:p w14:paraId="229159FF" w14:textId="77777777" w:rsidR="006877FB" w:rsidRPr="007820AA" w:rsidRDefault="006877FB" w:rsidP="006877FB">
      <w:pPr>
        <w:tabs>
          <w:tab w:val="left" w:pos="567"/>
        </w:tabs>
        <w:ind w:right="571"/>
        <w:jc w:val="both"/>
        <w:rPr>
          <w:sz w:val="24"/>
          <w:szCs w:val="24"/>
          <w:lang w:val="mk-MK"/>
        </w:rPr>
      </w:pPr>
      <w:r w:rsidRPr="007820AA">
        <w:rPr>
          <w:sz w:val="24"/>
          <w:szCs w:val="24"/>
          <w:lang w:val="mk-MK"/>
        </w:rPr>
        <w:tab/>
      </w:r>
      <w:r w:rsidRPr="007820AA">
        <w:rPr>
          <w:sz w:val="24"/>
          <w:szCs w:val="24"/>
          <w:lang w:val="mk-MK"/>
        </w:rPr>
        <w:tab/>
      </w:r>
      <w:r>
        <w:rPr>
          <w:sz w:val="24"/>
          <w:szCs w:val="24"/>
          <w:lang w:val="mk-MK"/>
        </w:rPr>
        <w:tab/>
      </w:r>
      <w:r>
        <w:rPr>
          <w:sz w:val="24"/>
          <w:szCs w:val="24"/>
          <w:lang w:val="mk-MK"/>
        </w:rPr>
        <w:tab/>
      </w:r>
      <w:r w:rsidRPr="007820AA">
        <w:rPr>
          <w:sz w:val="24"/>
          <w:szCs w:val="24"/>
          <w:lang w:val="mk-MK"/>
        </w:rPr>
        <w:tab/>
      </w:r>
      <w:r w:rsidRPr="007820AA">
        <w:rPr>
          <w:sz w:val="24"/>
          <w:szCs w:val="24"/>
          <w:lang w:val="mk-MK"/>
        </w:rPr>
        <w:tab/>
      </w:r>
      <w:r w:rsidRPr="007820AA">
        <w:rPr>
          <w:sz w:val="24"/>
          <w:szCs w:val="24"/>
          <w:lang w:val="mk-MK"/>
        </w:rPr>
        <w:tab/>
      </w:r>
      <w:r w:rsidRPr="007820AA">
        <w:rPr>
          <w:sz w:val="24"/>
          <w:szCs w:val="24"/>
          <w:lang w:val="mk-MK"/>
        </w:rPr>
        <w:tab/>
      </w:r>
      <w:r>
        <w:rPr>
          <w:sz w:val="24"/>
          <w:szCs w:val="24"/>
          <w:lang w:val="mk-MK"/>
        </w:rPr>
        <w:t xml:space="preserve">       Жан–Клод ЈУНКЕР</w:t>
      </w:r>
    </w:p>
    <w:p w14:paraId="3D3648EE" w14:textId="77777777" w:rsidR="006877FB" w:rsidRPr="007820AA" w:rsidRDefault="006877FB" w:rsidP="006877FB">
      <w:pPr>
        <w:tabs>
          <w:tab w:val="left" w:pos="567"/>
        </w:tabs>
        <w:ind w:right="571"/>
        <w:jc w:val="both"/>
        <w:rPr>
          <w:sz w:val="24"/>
          <w:szCs w:val="24"/>
          <w:lang w:val="mk-MK"/>
        </w:rPr>
      </w:pPr>
    </w:p>
    <w:p w14:paraId="66989C43" w14:textId="77777777" w:rsidR="006877FB" w:rsidRPr="007820AA" w:rsidRDefault="006877FB" w:rsidP="006877FB">
      <w:pPr>
        <w:tabs>
          <w:tab w:val="left" w:pos="567"/>
        </w:tabs>
        <w:ind w:right="571"/>
        <w:jc w:val="both"/>
        <w:rPr>
          <w:sz w:val="24"/>
          <w:szCs w:val="24"/>
          <w:lang w:val="mk-MK"/>
        </w:rPr>
      </w:pPr>
    </w:p>
    <w:p w14:paraId="07AFB353" w14:textId="77777777" w:rsidR="006877FB" w:rsidRDefault="006877FB" w:rsidP="006877FB">
      <w:pPr>
        <w:tabs>
          <w:tab w:val="left" w:pos="567"/>
        </w:tabs>
        <w:ind w:right="571"/>
        <w:jc w:val="center"/>
        <w:rPr>
          <w:sz w:val="22"/>
          <w:szCs w:val="22"/>
          <w:lang w:val="mk-MK"/>
        </w:rPr>
      </w:pPr>
      <w:r>
        <w:rPr>
          <w:sz w:val="22"/>
          <w:szCs w:val="22"/>
          <w:lang w:val="mk-MK"/>
        </w:rPr>
        <w:t>___________</w:t>
      </w:r>
    </w:p>
    <w:p w14:paraId="7A7F29BA" w14:textId="77777777" w:rsidR="006877FB" w:rsidRPr="0002350F" w:rsidRDefault="006877FB" w:rsidP="006877FB">
      <w:pPr>
        <w:ind w:right="571"/>
        <w:jc w:val="both"/>
        <w:rPr>
          <w:sz w:val="24"/>
          <w:szCs w:val="24"/>
        </w:rPr>
      </w:pPr>
    </w:p>
    <w:p w14:paraId="7B70B5B5" w14:textId="2F19467B" w:rsidR="006877FB" w:rsidRDefault="006877FB" w:rsidP="006877FB">
      <w:pPr>
        <w:ind w:right="571"/>
        <w:jc w:val="both"/>
        <w:rPr>
          <w:sz w:val="24"/>
          <w:szCs w:val="24"/>
        </w:rPr>
      </w:pPr>
    </w:p>
    <w:p w14:paraId="77B1B625" w14:textId="13903A10" w:rsidR="00A95ADA" w:rsidRDefault="00A95ADA" w:rsidP="006877FB">
      <w:pPr>
        <w:ind w:right="571"/>
        <w:jc w:val="both"/>
        <w:rPr>
          <w:sz w:val="24"/>
          <w:szCs w:val="24"/>
        </w:rPr>
      </w:pPr>
    </w:p>
    <w:p w14:paraId="1F1024D9" w14:textId="496252AD" w:rsidR="00A95ADA" w:rsidRDefault="00A95ADA" w:rsidP="006877FB">
      <w:pPr>
        <w:ind w:right="571"/>
        <w:jc w:val="both"/>
        <w:rPr>
          <w:sz w:val="24"/>
          <w:szCs w:val="24"/>
        </w:rPr>
      </w:pPr>
    </w:p>
    <w:p w14:paraId="5C0A9961" w14:textId="1DAAF29C" w:rsidR="00A95ADA" w:rsidRPr="00A95ADA" w:rsidRDefault="00A95ADA">
      <w:pPr>
        <w:widowControl/>
        <w:autoSpaceDE/>
        <w:autoSpaceDN/>
        <w:adjustRightInd/>
        <w:rPr>
          <w:sz w:val="24"/>
          <w:szCs w:val="24"/>
          <w:lang w:val="en-US"/>
        </w:rPr>
      </w:pPr>
      <w:r>
        <w:rPr>
          <w:sz w:val="24"/>
          <w:szCs w:val="24"/>
        </w:rPr>
        <w:br w:type="page"/>
      </w:r>
    </w:p>
    <w:p w14:paraId="7E9E2221" w14:textId="77777777" w:rsidR="00A95ADA" w:rsidRPr="0002350F" w:rsidRDefault="00A95ADA" w:rsidP="006877FB">
      <w:pPr>
        <w:ind w:right="571"/>
        <w:jc w:val="both"/>
        <w:rPr>
          <w:sz w:val="24"/>
          <w:szCs w:val="24"/>
        </w:rPr>
      </w:pPr>
    </w:p>
    <w:p w14:paraId="2DF7EBBF" w14:textId="77777777" w:rsidR="006877FB" w:rsidRPr="0002350F" w:rsidRDefault="006877FB" w:rsidP="006877FB">
      <w:pPr>
        <w:ind w:right="571"/>
        <w:jc w:val="center"/>
        <w:rPr>
          <w:i/>
          <w:iCs/>
          <w:sz w:val="24"/>
          <w:szCs w:val="24"/>
          <w:lang w:val="mk-MK"/>
        </w:rPr>
      </w:pPr>
      <w:r w:rsidRPr="0002350F">
        <w:rPr>
          <w:i/>
          <w:iCs/>
          <w:sz w:val="24"/>
          <w:szCs w:val="24"/>
          <w:lang w:val="mk-MK"/>
        </w:rPr>
        <w:t>АНЕКС</w:t>
      </w:r>
    </w:p>
    <w:p w14:paraId="1B1BD621" w14:textId="77777777" w:rsidR="006877FB" w:rsidRPr="0002350F" w:rsidRDefault="006877FB" w:rsidP="006877FB">
      <w:pPr>
        <w:ind w:right="571"/>
        <w:jc w:val="both"/>
        <w:rPr>
          <w:sz w:val="24"/>
          <w:szCs w:val="24"/>
        </w:rPr>
      </w:pPr>
    </w:p>
    <w:p w14:paraId="15F27E5E" w14:textId="6C227D7E" w:rsidR="006877FB" w:rsidRPr="0002350F" w:rsidRDefault="006877FB" w:rsidP="006877FB">
      <w:pPr>
        <w:ind w:right="571"/>
        <w:jc w:val="both"/>
        <w:rPr>
          <w:sz w:val="24"/>
          <w:szCs w:val="24"/>
          <w:lang w:val="mk-MK"/>
        </w:rPr>
      </w:pPr>
      <w:r w:rsidRPr="0002350F">
        <w:rPr>
          <w:sz w:val="24"/>
          <w:szCs w:val="24"/>
          <w:lang w:val="mk-MK"/>
        </w:rPr>
        <w:t>Анекс</w:t>
      </w:r>
      <w:r>
        <w:rPr>
          <w:sz w:val="24"/>
          <w:szCs w:val="24"/>
          <w:lang w:val="mk-MK"/>
        </w:rPr>
        <w:t>от</w:t>
      </w:r>
      <w:r w:rsidRPr="0002350F">
        <w:rPr>
          <w:sz w:val="24"/>
          <w:szCs w:val="24"/>
          <w:lang w:val="mk-MK"/>
        </w:rPr>
        <w:t xml:space="preserve"> </w:t>
      </w:r>
      <w:r w:rsidR="00A95ADA">
        <w:rPr>
          <w:sz w:val="24"/>
          <w:szCs w:val="24"/>
          <w:lang w:val="en-US"/>
        </w:rPr>
        <w:t>I</w:t>
      </w:r>
      <w:r w:rsidR="00A95ADA">
        <w:rPr>
          <w:sz w:val="24"/>
          <w:szCs w:val="24"/>
          <w:lang w:val="mk-MK"/>
        </w:rPr>
        <w:t xml:space="preserve"> се менува и дополнува како што следи:</w:t>
      </w:r>
    </w:p>
    <w:p w14:paraId="12E68F7A" w14:textId="77777777" w:rsidR="006877FB" w:rsidRPr="0002350F" w:rsidRDefault="006877FB" w:rsidP="006877FB">
      <w:pPr>
        <w:ind w:right="571"/>
        <w:jc w:val="both"/>
        <w:rPr>
          <w:sz w:val="24"/>
          <w:szCs w:val="24"/>
        </w:rPr>
      </w:pPr>
    </w:p>
    <w:p w14:paraId="321AFF0F" w14:textId="5F372F22" w:rsidR="006877FB" w:rsidRPr="001A334C" w:rsidRDefault="006877FB" w:rsidP="006877FB">
      <w:pPr>
        <w:tabs>
          <w:tab w:val="left" w:pos="426"/>
        </w:tabs>
        <w:ind w:right="429"/>
        <w:jc w:val="both"/>
        <w:rPr>
          <w:sz w:val="24"/>
          <w:szCs w:val="24"/>
          <w:lang w:val="mk-MK"/>
        </w:rPr>
      </w:pPr>
      <w:r>
        <w:rPr>
          <w:sz w:val="24"/>
          <w:szCs w:val="24"/>
          <w:lang w:val="mk-MK"/>
        </w:rPr>
        <w:t>(1)</w:t>
      </w:r>
      <w:r>
        <w:rPr>
          <w:sz w:val="24"/>
          <w:szCs w:val="24"/>
          <w:lang w:val="mk-MK"/>
        </w:rPr>
        <w:tab/>
      </w:r>
      <w:r w:rsidR="00E42824">
        <w:rPr>
          <w:sz w:val="24"/>
          <w:szCs w:val="24"/>
          <w:lang w:val="mk-MK"/>
        </w:rPr>
        <w:t>табелата на содржината се заменува со следното:</w:t>
      </w:r>
    </w:p>
    <w:p w14:paraId="50B79DB8" w14:textId="63182748" w:rsidR="006877FB" w:rsidRDefault="006877FB" w:rsidP="006877FB">
      <w:pPr>
        <w:ind w:right="429"/>
        <w:jc w:val="both"/>
        <w:rPr>
          <w:sz w:val="24"/>
          <w:szCs w:val="24"/>
        </w:rPr>
      </w:pPr>
    </w:p>
    <w:p w14:paraId="30A7DFA1" w14:textId="03CAD2C2" w:rsidR="00E42824" w:rsidRPr="00E42824" w:rsidRDefault="00E42824" w:rsidP="00E42824">
      <w:pPr>
        <w:ind w:right="429"/>
        <w:jc w:val="center"/>
        <w:rPr>
          <w:sz w:val="24"/>
          <w:szCs w:val="24"/>
          <w:lang w:val="mk-MK"/>
        </w:rPr>
      </w:pPr>
      <w:r>
        <w:rPr>
          <w:sz w:val="24"/>
          <w:szCs w:val="24"/>
          <w:lang w:val="en-US"/>
        </w:rPr>
        <w:t>'</w:t>
      </w:r>
      <w:r>
        <w:rPr>
          <w:sz w:val="24"/>
          <w:szCs w:val="24"/>
          <w:lang w:val="mk-MK"/>
        </w:rPr>
        <w:t>СОДРЖИНА</w:t>
      </w:r>
    </w:p>
    <w:p w14:paraId="79B929D0" w14:textId="4F860B98" w:rsidR="00E42824" w:rsidRDefault="00E42824" w:rsidP="006877FB">
      <w:pPr>
        <w:ind w:right="429"/>
        <w:jc w:val="both"/>
        <w:rPr>
          <w:sz w:val="24"/>
          <w:szCs w:val="24"/>
        </w:rPr>
      </w:pPr>
    </w:p>
    <w:p w14:paraId="6477A9F2" w14:textId="0164E97D" w:rsidR="00E42824" w:rsidRDefault="001E574E" w:rsidP="001E574E">
      <w:pPr>
        <w:ind w:left="426" w:right="429"/>
        <w:jc w:val="both"/>
        <w:rPr>
          <w:sz w:val="24"/>
          <w:szCs w:val="24"/>
          <w:lang w:val="mk-MK"/>
        </w:rPr>
      </w:pPr>
      <w:r>
        <w:rPr>
          <w:sz w:val="24"/>
          <w:szCs w:val="24"/>
          <w:lang w:val="mk-MK"/>
        </w:rPr>
        <w:t>ПОДДЕЛ А – ОПШТИ ОДРЕДБИ</w:t>
      </w:r>
    </w:p>
    <w:p w14:paraId="175E1769" w14:textId="0FB4D710" w:rsidR="001E574E" w:rsidRDefault="001E574E" w:rsidP="00B97468">
      <w:pPr>
        <w:ind w:right="429"/>
        <w:jc w:val="both"/>
        <w:rPr>
          <w:sz w:val="24"/>
          <w:szCs w:val="24"/>
          <w:lang w:val="mk-MK"/>
        </w:rPr>
      </w:pPr>
    </w:p>
    <w:p w14:paraId="27AB3D78" w14:textId="204D20A3" w:rsidR="001E574E" w:rsidRPr="001E574E" w:rsidRDefault="001E574E" w:rsidP="006679E8">
      <w:pPr>
        <w:tabs>
          <w:tab w:val="left" w:pos="1276"/>
        </w:tabs>
        <w:ind w:left="426" w:right="429"/>
        <w:jc w:val="both"/>
        <w:rPr>
          <w:sz w:val="24"/>
          <w:szCs w:val="24"/>
          <w:lang w:val="mk-MK"/>
        </w:rPr>
      </w:pPr>
      <w:r>
        <w:rPr>
          <w:sz w:val="24"/>
          <w:szCs w:val="24"/>
          <w:lang w:val="mk-MK"/>
        </w:rPr>
        <w:t>26.1</w:t>
      </w:r>
      <w:r w:rsidR="002426AE">
        <w:rPr>
          <w:sz w:val="24"/>
          <w:szCs w:val="24"/>
          <w:lang w:val="mk-MK"/>
        </w:rPr>
        <w:t>0</w:t>
      </w:r>
      <w:r>
        <w:rPr>
          <w:sz w:val="24"/>
          <w:szCs w:val="24"/>
          <w:lang w:val="mk-MK"/>
        </w:rPr>
        <w:tab/>
      </w:r>
      <w:r w:rsidR="006679E8">
        <w:rPr>
          <w:sz w:val="24"/>
          <w:szCs w:val="24"/>
          <w:lang w:val="mk-MK"/>
        </w:rPr>
        <w:t>Надлежен орган</w:t>
      </w:r>
    </w:p>
    <w:p w14:paraId="2F2A6952" w14:textId="4FB34BBD" w:rsidR="006877FB" w:rsidRPr="001E574E" w:rsidRDefault="006877FB" w:rsidP="001E574E">
      <w:pPr>
        <w:tabs>
          <w:tab w:val="left" w:pos="851"/>
        </w:tabs>
        <w:ind w:right="429"/>
        <w:jc w:val="both"/>
        <w:rPr>
          <w:sz w:val="24"/>
          <w:szCs w:val="24"/>
          <w:lang w:val="en-US"/>
        </w:rPr>
      </w:pPr>
    </w:p>
    <w:p w14:paraId="0ABDA92A" w14:textId="701BFB67" w:rsidR="00386DC0" w:rsidRPr="001E574E" w:rsidRDefault="00386DC0" w:rsidP="00386DC0">
      <w:pPr>
        <w:tabs>
          <w:tab w:val="left" w:pos="1276"/>
        </w:tabs>
        <w:ind w:left="426" w:right="429"/>
        <w:jc w:val="both"/>
        <w:rPr>
          <w:sz w:val="24"/>
          <w:szCs w:val="24"/>
          <w:lang w:val="mk-MK"/>
        </w:rPr>
      </w:pPr>
      <w:r>
        <w:rPr>
          <w:sz w:val="24"/>
          <w:szCs w:val="24"/>
          <w:lang w:val="mk-MK"/>
        </w:rPr>
        <w:t>26.</w:t>
      </w:r>
      <w:r w:rsidR="002426AE">
        <w:rPr>
          <w:sz w:val="24"/>
          <w:szCs w:val="24"/>
          <w:lang w:val="mk-MK"/>
        </w:rPr>
        <w:t>20</w:t>
      </w:r>
      <w:r>
        <w:rPr>
          <w:sz w:val="24"/>
          <w:szCs w:val="24"/>
          <w:lang w:val="mk-MK"/>
        </w:rPr>
        <w:tab/>
      </w:r>
      <w:r w:rsidR="002426AE">
        <w:rPr>
          <w:sz w:val="24"/>
          <w:szCs w:val="24"/>
          <w:lang w:val="mk-MK"/>
        </w:rPr>
        <w:t>Привремено неисправна опрема</w:t>
      </w:r>
    </w:p>
    <w:p w14:paraId="290F72B9" w14:textId="77777777" w:rsidR="00386DC0" w:rsidRPr="001E574E" w:rsidRDefault="00386DC0" w:rsidP="00386DC0">
      <w:pPr>
        <w:tabs>
          <w:tab w:val="left" w:pos="851"/>
        </w:tabs>
        <w:ind w:right="429"/>
        <w:jc w:val="both"/>
        <w:rPr>
          <w:sz w:val="24"/>
          <w:szCs w:val="24"/>
          <w:lang w:val="en-US"/>
        </w:rPr>
      </w:pPr>
    </w:p>
    <w:p w14:paraId="50B0DB1A" w14:textId="767DC4B9" w:rsidR="00386DC0" w:rsidRPr="001E574E" w:rsidRDefault="00386DC0" w:rsidP="00386DC0">
      <w:pPr>
        <w:tabs>
          <w:tab w:val="left" w:pos="1276"/>
        </w:tabs>
        <w:ind w:left="426" w:right="429"/>
        <w:jc w:val="both"/>
        <w:rPr>
          <w:sz w:val="24"/>
          <w:szCs w:val="24"/>
          <w:lang w:val="mk-MK"/>
        </w:rPr>
      </w:pPr>
      <w:r>
        <w:rPr>
          <w:sz w:val="24"/>
          <w:szCs w:val="24"/>
          <w:lang w:val="mk-MK"/>
        </w:rPr>
        <w:t>26.</w:t>
      </w:r>
      <w:r w:rsidR="002426AE">
        <w:rPr>
          <w:sz w:val="24"/>
          <w:szCs w:val="24"/>
          <w:lang w:val="mk-MK"/>
        </w:rPr>
        <w:t>30</w:t>
      </w:r>
      <w:r>
        <w:rPr>
          <w:sz w:val="24"/>
          <w:szCs w:val="24"/>
          <w:lang w:val="mk-MK"/>
        </w:rPr>
        <w:tab/>
      </w:r>
      <w:r w:rsidR="002426AE">
        <w:rPr>
          <w:sz w:val="24"/>
          <w:szCs w:val="24"/>
          <w:lang w:val="mk-MK"/>
        </w:rPr>
        <w:t>Дока</w:t>
      </w:r>
      <w:r w:rsidR="00DF1B81">
        <w:rPr>
          <w:sz w:val="24"/>
          <w:szCs w:val="24"/>
          <w:lang w:val="mk-MK"/>
        </w:rPr>
        <w:t>з заусогласенот</w:t>
      </w:r>
    </w:p>
    <w:p w14:paraId="2BD2619E" w14:textId="0F47FEA1" w:rsidR="00386DC0" w:rsidRDefault="00386DC0" w:rsidP="00386DC0">
      <w:pPr>
        <w:tabs>
          <w:tab w:val="left" w:pos="851"/>
        </w:tabs>
        <w:ind w:right="429"/>
        <w:jc w:val="both"/>
        <w:rPr>
          <w:sz w:val="24"/>
          <w:szCs w:val="24"/>
          <w:lang w:val="en-US"/>
        </w:rPr>
      </w:pPr>
    </w:p>
    <w:p w14:paraId="580029B3" w14:textId="292027D9" w:rsidR="002426AE" w:rsidRDefault="002426AE" w:rsidP="00386DC0">
      <w:pPr>
        <w:tabs>
          <w:tab w:val="left" w:pos="851"/>
        </w:tabs>
        <w:ind w:right="429"/>
        <w:jc w:val="both"/>
        <w:rPr>
          <w:sz w:val="24"/>
          <w:szCs w:val="24"/>
          <w:lang w:val="en-US"/>
        </w:rPr>
      </w:pPr>
    </w:p>
    <w:p w14:paraId="552C8DD7" w14:textId="49EEF470" w:rsidR="002426AE" w:rsidRDefault="002426AE" w:rsidP="002426AE">
      <w:pPr>
        <w:ind w:left="426" w:right="429"/>
        <w:jc w:val="both"/>
        <w:rPr>
          <w:sz w:val="24"/>
          <w:szCs w:val="24"/>
          <w:lang w:val="mk-MK"/>
        </w:rPr>
      </w:pPr>
      <w:r>
        <w:rPr>
          <w:sz w:val="24"/>
          <w:szCs w:val="24"/>
          <w:lang w:val="mk-MK"/>
        </w:rPr>
        <w:t>ПОДДЕЛ Б – ГОЛЕМИ АВИОНИ</w:t>
      </w:r>
    </w:p>
    <w:p w14:paraId="51A58001" w14:textId="77777777" w:rsidR="002426AE" w:rsidRPr="001E574E" w:rsidRDefault="002426AE" w:rsidP="00386DC0">
      <w:pPr>
        <w:tabs>
          <w:tab w:val="left" w:pos="851"/>
        </w:tabs>
        <w:ind w:right="429"/>
        <w:jc w:val="both"/>
        <w:rPr>
          <w:sz w:val="24"/>
          <w:szCs w:val="24"/>
          <w:lang w:val="en-US"/>
        </w:rPr>
      </w:pPr>
    </w:p>
    <w:p w14:paraId="40F7B6D3" w14:textId="51F0F188" w:rsidR="00386DC0" w:rsidRPr="007C0FDB" w:rsidRDefault="00386DC0" w:rsidP="00386DC0">
      <w:pPr>
        <w:tabs>
          <w:tab w:val="left" w:pos="1276"/>
        </w:tabs>
        <w:ind w:left="426" w:right="429"/>
        <w:jc w:val="both"/>
        <w:rPr>
          <w:b/>
          <w:bCs/>
          <w:sz w:val="24"/>
          <w:szCs w:val="24"/>
          <w:lang w:val="mk-MK"/>
        </w:rPr>
      </w:pPr>
      <w:r>
        <w:rPr>
          <w:sz w:val="24"/>
          <w:szCs w:val="24"/>
          <w:lang w:val="mk-MK"/>
        </w:rPr>
        <w:t>26.</w:t>
      </w:r>
      <w:r w:rsidR="007C0FDB">
        <w:rPr>
          <w:sz w:val="24"/>
          <w:szCs w:val="24"/>
          <w:lang w:val="mk-MK"/>
        </w:rPr>
        <w:t>50</w:t>
      </w:r>
      <w:r>
        <w:rPr>
          <w:sz w:val="24"/>
          <w:szCs w:val="24"/>
          <w:lang w:val="mk-MK"/>
        </w:rPr>
        <w:tab/>
      </w:r>
      <w:r w:rsidR="007C0FDB">
        <w:rPr>
          <w:sz w:val="24"/>
          <w:szCs w:val="24"/>
          <w:lang w:val="mk-MK"/>
        </w:rPr>
        <w:t>Седишта, ле</w:t>
      </w:r>
      <w:r w:rsidR="004C4A56">
        <w:rPr>
          <w:sz w:val="24"/>
          <w:szCs w:val="24"/>
          <w:lang w:val="mk-MK"/>
        </w:rPr>
        <w:t>гла, сигурносни  појаси</w:t>
      </w:r>
      <w:r w:rsidR="005C64A4">
        <w:rPr>
          <w:sz w:val="24"/>
          <w:szCs w:val="24"/>
          <w:lang w:val="mk-MK"/>
        </w:rPr>
        <w:t xml:space="preserve"> и прицврстување</w:t>
      </w:r>
    </w:p>
    <w:p w14:paraId="7A2DA0FA" w14:textId="77777777" w:rsidR="00386DC0" w:rsidRPr="001E574E" w:rsidRDefault="00386DC0" w:rsidP="00386DC0">
      <w:pPr>
        <w:tabs>
          <w:tab w:val="left" w:pos="851"/>
        </w:tabs>
        <w:ind w:right="429"/>
        <w:jc w:val="both"/>
        <w:rPr>
          <w:sz w:val="24"/>
          <w:szCs w:val="24"/>
          <w:lang w:val="en-US"/>
        </w:rPr>
      </w:pPr>
    </w:p>
    <w:p w14:paraId="43859F57" w14:textId="37AFA7B7" w:rsidR="00386DC0" w:rsidRPr="001E574E" w:rsidRDefault="00386DC0" w:rsidP="00386DC0">
      <w:pPr>
        <w:tabs>
          <w:tab w:val="left" w:pos="1276"/>
        </w:tabs>
        <w:ind w:left="426" w:right="429"/>
        <w:jc w:val="both"/>
        <w:rPr>
          <w:sz w:val="24"/>
          <w:szCs w:val="24"/>
          <w:lang w:val="mk-MK"/>
        </w:rPr>
      </w:pPr>
      <w:r>
        <w:rPr>
          <w:sz w:val="24"/>
          <w:szCs w:val="24"/>
          <w:lang w:val="mk-MK"/>
        </w:rPr>
        <w:t>26.</w:t>
      </w:r>
      <w:r w:rsidR="00A964B7">
        <w:rPr>
          <w:sz w:val="24"/>
          <w:szCs w:val="24"/>
          <w:lang w:val="mk-MK"/>
        </w:rPr>
        <w:t>60</w:t>
      </w:r>
      <w:r>
        <w:rPr>
          <w:sz w:val="24"/>
          <w:szCs w:val="24"/>
          <w:lang w:val="mk-MK"/>
        </w:rPr>
        <w:tab/>
      </w:r>
      <w:r w:rsidR="00A964B7">
        <w:rPr>
          <w:sz w:val="24"/>
          <w:szCs w:val="24"/>
          <w:lang w:val="mk-MK"/>
        </w:rPr>
        <w:t xml:space="preserve">Принудно слетување – динамични услови </w:t>
      </w:r>
    </w:p>
    <w:p w14:paraId="783EA4A5" w14:textId="77777777" w:rsidR="00386DC0" w:rsidRPr="001E574E" w:rsidRDefault="00386DC0" w:rsidP="00386DC0">
      <w:pPr>
        <w:tabs>
          <w:tab w:val="left" w:pos="851"/>
        </w:tabs>
        <w:ind w:right="429"/>
        <w:jc w:val="both"/>
        <w:rPr>
          <w:sz w:val="24"/>
          <w:szCs w:val="24"/>
          <w:lang w:val="en-US"/>
        </w:rPr>
      </w:pPr>
    </w:p>
    <w:p w14:paraId="163F3831" w14:textId="54D8F595" w:rsidR="00386DC0" w:rsidRPr="001E574E" w:rsidRDefault="00386DC0" w:rsidP="00386DC0">
      <w:pPr>
        <w:tabs>
          <w:tab w:val="left" w:pos="1276"/>
        </w:tabs>
        <w:ind w:left="426" w:right="429"/>
        <w:jc w:val="both"/>
        <w:rPr>
          <w:sz w:val="24"/>
          <w:szCs w:val="24"/>
          <w:lang w:val="mk-MK"/>
        </w:rPr>
      </w:pPr>
      <w:r>
        <w:rPr>
          <w:sz w:val="24"/>
          <w:szCs w:val="24"/>
          <w:lang w:val="mk-MK"/>
        </w:rPr>
        <w:t>26.1</w:t>
      </w:r>
      <w:r w:rsidR="00694D6B">
        <w:rPr>
          <w:sz w:val="24"/>
          <w:szCs w:val="24"/>
          <w:lang w:val="mk-MK"/>
        </w:rPr>
        <w:t>00</w:t>
      </w:r>
      <w:r>
        <w:rPr>
          <w:sz w:val="24"/>
          <w:szCs w:val="24"/>
          <w:lang w:val="mk-MK"/>
        </w:rPr>
        <w:tab/>
      </w:r>
      <w:r w:rsidR="00694D6B">
        <w:rPr>
          <w:sz w:val="24"/>
          <w:szCs w:val="24"/>
          <w:lang w:val="mk-MK"/>
        </w:rPr>
        <w:t xml:space="preserve">Локација на излезите </w:t>
      </w:r>
      <w:r w:rsidR="005C64A4">
        <w:rPr>
          <w:sz w:val="24"/>
          <w:szCs w:val="24"/>
          <w:lang w:val="mk-MK"/>
        </w:rPr>
        <w:t xml:space="preserve">во итен случај </w:t>
      </w:r>
    </w:p>
    <w:p w14:paraId="125B7929" w14:textId="77777777" w:rsidR="00386DC0" w:rsidRPr="001E574E" w:rsidRDefault="00386DC0" w:rsidP="00386DC0">
      <w:pPr>
        <w:tabs>
          <w:tab w:val="left" w:pos="851"/>
        </w:tabs>
        <w:ind w:right="429"/>
        <w:jc w:val="both"/>
        <w:rPr>
          <w:sz w:val="24"/>
          <w:szCs w:val="24"/>
          <w:lang w:val="en-US"/>
        </w:rPr>
      </w:pPr>
    </w:p>
    <w:p w14:paraId="5A43C6B3" w14:textId="730E55CE" w:rsidR="00386DC0" w:rsidRPr="001E574E" w:rsidRDefault="00386DC0" w:rsidP="00386DC0">
      <w:pPr>
        <w:tabs>
          <w:tab w:val="left" w:pos="1276"/>
        </w:tabs>
        <w:ind w:left="426" w:right="429"/>
        <w:jc w:val="both"/>
        <w:rPr>
          <w:sz w:val="24"/>
          <w:szCs w:val="24"/>
          <w:lang w:val="mk-MK"/>
        </w:rPr>
      </w:pPr>
      <w:r>
        <w:rPr>
          <w:sz w:val="24"/>
          <w:szCs w:val="24"/>
          <w:lang w:val="mk-MK"/>
        </w:rPr>
        <w:t>26.1</w:t>
      </w:r>
      <w:r w:rsidR="00694D6B">
        <w:rPr>
          <w:sz w:val="24"/>
          <w:szCs w:val="24"/>
          <w:lang w:val="mk-MK"/>
        </w:rPr>
        <w:t>05</w:t>
      </w:r>
      <w:r>
        <w:rPr>
          <w:sz w:val="24"/>
          <w:szCs w:val="24"/>
          <w:lang w:val="mk-MK"/>
        </w:rPr>
        <w:tab/>
      </w:r>
      <w:r w:rsidR="00694D6B">
        <w:rPr>
          <w:sz w:val="24"/>
          <w:szCs w:val="24"/>
          <w:lang w:val="mk-MK"/>
        </w:rPr>
        <w:t>Пристап до излез</w:t>
      </w:r>
      <w:r w:rsidR="005C64A4">
        <w:rPr>
          <w:sz w:val="24"/>
          <w:szCs w:val="24"/>
          <w:lang w:val="mk-MK"/>
        </w:rPr>
        <w:t xml:space="preserve"> во итен случај</w:t>
      </w:r>
      <w:r w:rsidR="00790608">
        <w:rPr>
          <w:sz w:val="24"/>
          <w:szCs w:val="24"/>
          <w:lang w:val="mk-MK"/>
        </w:rPr>
        <w:t xml:space="preserve"> </w:t>
      </w:r>
    </w:p>
    <w:p w14:paraId="752AB2B1" w14:textId="77777777" w:rsidR="00386DC0" w:rsidRPr="001E574E" w:rsidRDefault="00386DC0" w:rsidP="00386DC0">
      <w:pPr>
        <w:tabs>
          <w:tab w:val="left" w:pos="851"/>
        </w:tabs>
        <w:ind w:right="429"/>
        <w:jc w:val="both"/>
        <w:rPr>
          <w:sz w:val="24"/>
          <w:szCs w:val="24"/>
          <w:lang w:val="en-US"/>
        </w:rPr>
      </w:pPr>
    </w:p>
    <w:p w14:paraId="02161F33" w14:textId="45F1328F" w:rsidR="00386DC0" w:rsidRPr="001E574E" w:rsidRDefault="00386DC0" w:rsidP="00386DC0">
      <w:pPr>
        <w:tabs>
          <w:tab w:val="left" w:pos="1276"/>
        </w:tabs>
        <w:ind w:left="426" w:right="429"/>
        <w:jc w:val="both"/>
        <w:rPr>
          <w:sz w:val="24"/>
          <w:szCs w:val="24"/>
          <w:lang w:val="mk-MK"/>
        </w:rPr>
      </w:pPr>
      <w:r>
        <w:rPr>
          <w:sz w:val="24"/>
          <w:szCs w:val="24"/>
          <w:lang w:val="mk-MK"/>
        </w:rPr>
        <w:t>26.1</w:t>
      </w:r>
      <w:r w:rsidR="00DA139A">
        <w:rPr>
          <w:sz w:val="24"/>
          <w:szCs w:val="24"/>
          <w:lang w:val="mk-MK"/>
        </w:rPr>
        <w:t>10</w:t>
      </w:r>
      <w:r>
        <w:rPr>
          <w:sz w:val="24"/>
          <w:szCs w:val="24"/>
          <w:lang w:val="mk-MK"/>
        </w:rPr>
        <w:tab/>
      </w:r>
      <w:r w:rsidR="00DA139A">
        <w:rPr>
          <w:sz w:val="24"/>
          <w:szCs w:val="24"/>
          <w:lang w:val="mk-MK"/>
        </w:rPr>
        <w:t>Ознаки за излез</w:t>
      </w:r>
      <w:r w:rsidR="005C64A4">
        <w:rPr>
          <w:sz w:val="24"/>
          <w:szCs w:val="24"/>
          <w:lang w:val="mk-MK"/>
        </w:rPr>
        <w:t xml:space="preserve"> во итен случај</w:t>
      </w:r>
      <w:r w:rsidR="00DA139A">
        <w:rPr>
          <w:sz w:val="24"/>
          <w:szCs w:val="24"/>
          <w:lang w:val="mk-MK"/>
        </w:rPr>
        <w:t xml:space="preserve"> </w:t>
      </w:r>
    </w:p>
    <w:p w14:paraId="25B79469" w14:textId="77777777" w:rsidR="00386DC0" w:rsidRPr="001E574E" w:rsidRDefault="00386DC0" w:rsidP="00386DC0">
      <w:pPr>
        <w:tabs>
          <w:tab w:val="left" w:pos="851"/>
        </w:tabs>
        <w:ind w:right="429"/>
        <w:jc w:val="both"/>
        <w:rPr>
          <w:sz w:val="24"/>
          <w:szCs w:val="24"/>
          <w:lang w:val="en-US"/>
        </w:rPr>
      </w:pPr>
    </w:p>
    <w:p w14:paraId="0EC5526C" w14:textId="437E9594" w:rsidR="00386DC0" w:rsidRPr="001E574E" w:rsidRDefault="00386DC0" w:rsidP="00D82112">
      <w:pPr>
        <w:tabs>
          <w:tab w:val="left" w:pos="1276"/>
        </w:tabs>
        <w:ind w:left="1276" w:right="429" w:hanging="850"/>
        <w:jc w:val="both"/>
        <w:rPr>
          <w:sz w:val="24"/>
          <w:szCs w:val="24"/>
          <w:lang w:val="mk-MK"/>
        </w:rPr>
      </w:pPr>
      <w:r>
        <w:rPr>
          <w:sz w:val="24"/>
          <w:szCs w:val="24"/>
          <w:lang w:val="mk-MK"/>
        </w:rPr>
        <w:t>26.1</w:t>
      </w:r>
      <w:r w:rsidR="00D82112">
        <w:rPr>
          <w:sz w:val="24"/>
          <w:szCs w:val="24"/>
          <w:lang w:val="mk-MK"/>
        </w:rPr>
        <w:t>20</w:t>
      </w:r>
      <w:r>
        <w:rPr>
          <w:sz w:val="24"/>
          <w:szCs w:val="24"/>
          <w:lang w:val="mk-MK"/>
        </w:rPr>
        <w:tab/>
      </w:r>
      <w:r w:rsidR="00D82112">
        <w:rPr>
          <w:sz w:val="24"/>
          <w:szCs w:val="24"/>
          <w:lang w:val="mk-MK"/>
        </w:rPr>
        <w:t xml:space="preserve">Внатрешно осветлување за </w:t>
      </w:r>
      <w:r w:rsidR="005C64A4">
        <w:rPr>
          <w:sz w:val="24"/>
          <w:szCs w:val="24"/>
          <w:lang w:val="mk-MK"/>
        </w:rPr>
        <w:t>итен</w:t>
      </w:r>
      <w:r w:rsidR="00894293">
        <w:rPr>
          <w:sz w:val="24"/>
          <w:szCs w:val="24"/>
          <w:lang w:val="mk-MK"/>
        </w:rPr>
        <w:t xml:space="preserve"> случај  </w:t>
      </w:r>
      <w:r w:rsidR="00D82112">
        <w:rPr>
          <w:sz w:val="24"/>
          <w:szCs w:val="24"/>
          <w:lang w:val="mk-MK"/>
        </w:rPr>
        <w:t xml:space="preserve">и функционирање на осветлувањето во </w:t>
      </w:r>
      <w:r w:rsidR="005C64A4">
        <w:rPr>
          <w:sz w:val="24"/>
          <w:szCs w:val="24"/>
          <w:lang w:val="mk-MK"/>
        </w:rPr>
        <w:t>итни случаи</w:t>
      </w:r>
    </w:p>
    <w:p w14:paraId="42F7AE49" w14:textId="77777777" w:rsidR="00386DC0" w:rsidRPr="001E574E" w:rsidRDefault="00386DC0" w:rsidP="00386DC0">
      <w:pPr>
        <w:tabs>
          <w:tab w:val="left" w:pos="851"/>
        </w:tabs>
        <w:ind w:right="429"/>
        <w:jc w:val="both"/>
        <w:rPr>
          <w:sz w:val="24"/>
          <w:szCs w:val="24"/>
          <w:lang w:val="en-US"/>
        </w:rPr>
      </w:pPr>
    </w:p>
    <w:p w14:paraId="32E5F113" w14:textId="46D89927" w:rsidR="00386DC0" w:rsidRPr="001E574E" w:rsidRDefault="00386DC0" w:rsidP="00386DC0">
      <w:pPr>
        <w:tabs>
          <w:tab w:val="left" w:pos="1276"/>
        </w:tabs>
        <w:ind w:left="426" w:right="429"/>
        <w:jc w:val="both"/>
        <w:rPr>
          <w:sz w:val="24"/>
          <w:szCs w:val="24"/>
          <w:lang w:val="mk-MK"/>
        </w:rPr>
      </w:pPr>
      <w:r>
        <w:rPr>
          <w:sz w:val="24"/>
          <w:szCs w:val="24"/>
          <w:lang w:val="mk-MK"/>
        </w:rPr>
        <w:t>26.1</w:t>
      </w:r>
      <w:r w:rsidR="009B223E">
        <w:rPr>
          <w:sz w:val="24"/>
          <w:szCs w:val="24"/>
          <w:lang w:val="mk-MK"/>
        </w:rPr>
        <w:t>50</w:t>
      </w:r>
      <w:r>
        <w:rPr>
          <w:sz w:val="24"/>
          <w:szCs w:val="24"/>
          <w:lang w:val="mk-MK"/>
        </w:rPr>
        <w:tab/>
      </w:r>
      <w:r w:rsidR="009B223E">
        <w:rPr>
          <w:sz w:val="24"/>
          <w:szCs w:val="24"/>
          <w:lang w:val="mk-MK"/>
        </w:rPr>
        <w:t xml:space="preserve">Внатрешност на </w:t>
      </w:r>
      <w:r w:rsidR="005C64A4">
        <w:rPr>
          <w:sz w:val="24"/>
          <w:szCs w:val="24"/>
          <w:lang w:val="mk-MK"/>
        </w:rPr>
        <w:t>кабините</w:t>
      </w:r>
    </w:p>
    <w:p w14:paraId="3A5E357A" w14:textId="77777777" w:rsidR="00386DC0" w:rsidRPr="001E574E" w:rsidRDefault="00386DC0" w:rsidP="00386DC0">
      <w:pPr>
        <w:tabs>
          <w:tab w:val="left" w:pos="851"/>
        </w:tabs>
        <w:ind w:right="429"/>
        <w:jc w:val="both"/>
        <w:rPr>
          <w:sz w:val="24"/>
          <w:szCs w:val="24"/>
          <w:lang w:val="en-US"/>
        </w:rPr>
      </w:pPr>
    </w:p>
    <w:p w14:paraId="4B365F6A" w14:textId="68EC9684" w:rsidR="00386DC0" w:rsidRPr="001E574E" w:rsidRDefault="00386DC0" w:rsidP="00386DC0">
      <w:pPr>
        <w:tabs>
          <w:tab w:val="left" w:pos="1276"/>
        </w:tabs>
        <w:ind w:left="426" w:right="429"/>
        <w:jc w:val="both"/>
        <w:rPr>
          <w:sz w:val="24"/>
          <w:szCs w:val="24"/>
          <w:lang w:val="mk-MK"/>
        </w:rPr>
      </w:pPr>
      <w:r>
        <w:rPr>
          <w:sz w:val="24"/>
          <w:szCs w:val="24"/>
          <w:lang w:val="mk-MK"/>
        </w:rPr>
        <w:t>26.1</w:t>
      </w:r>
      <w:r w:rsidR="0080105C">
        <w:rPr>
          <w:sz w:val="24"/>
          <w:szCs w:val="24"/>
          <w:lang w:val="mk-MK"/>
        </w:rPr>
        <w:t>55</w:t>
      </w:r>
      <w:r>
        <w:rPr>
          <w:sz w:val="24"/>
          <w:szCs w:val="24"/>
          <w:lang w:val="mk-MK"/>
        </w:rPr>
        <w:tab/>
      </w:r>
      <w:r w:rsidR="005C64A4">
        <w:rPr>
          <w:sz w:val="24"/>
          <w:szCs w:val="24"/>
          <w:lang w:val="mk-MK"/>
        </w:rPr>
        <w:t>Ниво на з</w:t>
      </w:r>
      <w:r w:rsidR="0080105C">
        <w:rPr>
          <w:sz w:val="24"/>
          <w:szCs w:val="24"/>
          <w:lang w:val="mk-MK"/>
        </w:rPr>
        <w:t>апаливост на заштитн</w:t>
      </w:r>
      <w:r w:rsidR="005C64A4">
        <w:rPr>
          <w:sz w:val="24"/>
          <w:szCs w:val="24"/>
          <w:lang w:val="mk-MK"/>
        </w:rPr>
        <w:t>иот материјал</w:t>
      </w:r>
      <w:r w:rsidR="0080105C">
        <w:rPr>
          <w:sz w:val="24"/>
          <w:szCs w:val="24"/>
          <w:lang w:val="mk-MK"/>
        </w:rPr>
        <w:t xml:space="preserve"> на одделот за товар</w:t>
      </w:r>
    </w:p>
    <w:p w14:paraId="7FF73407" w14:textId="77777777" w:rsidR="00386DC0" w:rsidRPr="001E574E" w:rsidRDefault="00386DC0" w:rsidP="00386DC0">
      <w:pPr>
        <w:tabs>
          <w:tab w:val="left" w:pos="851"/>
        </w:tabs>
        <w:ind w:right="429"/>
        <w:jc w:val="both"/>
        <w:rPr>
          <w:sz w:val="24"/>
          <w:szCs w:val="24"/>
          <w:lang w:val="en-US"/>
        </w:rPr>
      </w:pPr>
    </w:p>
    <w:p w14:paraId="4993FE88" w14:textId="61FBD0D3" w:rsidR="00386DC0" w:rsidRPr="001E574E" w:rsidRDefault="00386DC0" w:rsidP="00386DC0">
      <w:pPr>
        <w:tabs>
          <w:tab w:val="left" w:pos="1276"/>
        </w:tabs>
        <w:ind w:left="426" w:right="429"/>
        <w:jc w:val="both"/>
        <w:rPr>
          <w:sz w:val="24"/>
          <w:szCs w:val="24"/>
          <w:lang w:val="mk-MK"/>
        </w:rPr>
      </w:pPr>
      <w:r>
        <w:rPr>
          <w:sz w:val="24"/>
          <w:szCs w:val="24"/>
          <w:lang w:val="mk-MK"/>
        </w:rPr>
        <w:t>26.1</w:t>
      </w:r>
      <w:r w:rsidR="003343FC">
        <w:rPr>
          <w:sz w:val="24"/>
          <w:szCs w:val="24"/>
          <w:lang w:val="mk-MK"/>
        </w:rPr>
        <w:t>56</w:t>
      </w:r>
      <w:r>
        <w:rPr>
          <w:sz w:val="24"/>
          <w:szCs w:val="24"/>
          <w:lang w:val="mk-MK"/>
        </w:rPr>
        <w:tab/>
      </w:r>
      <w:r w:rsidR="003343FC">
        <w:rPr>
          <w:sz w:val="24"/>
          <w:szCs w:val="24"/>
          <w:lang w:val="mk-MK"/>
        </w:rPr>
        <w:t>Материјал за топлинска или звучна изолација</w:t>
      </w:r>
    </w:p>
    <w:p w14:paraId="4D988956" w14:textId="77777777" w:rsidR="00386DC0" w:rsidRPr="001E574E" w:rsidRDefault="00386DC0" w:rsidP="00386DC0">
      <w:pPr>
        <w:tabs>
          <w:tab w:val="left" w:pos="851"/>
        </w:tabs>
        <w:ind w:right="429"/>
        <w:jc w:val="both"/>
        <w:rPr>
          <w:sz w:val="24"/>
          <w:szCs w:val="24"/>
          <w:lang w:val="en-US"/>
        </w:rPr>
      </w:pPr>
    </w:p>
    <w:p w14:paraId="6FD99197" w14:textId="57572B7B" w:rsidR="00386DC0" w:rsidRPr="001E574E" w:rsidRDefault="00386DC0" w:rsidP="00386DC0">
      <w:pPr>
        <w:tabs>
          <w:tab w:val="left" w:pos="1276"/>
        </w:tabs>
        <w:ind w:left="426" w:right="429"/>
        <w:jc w:val="both"/>
        <w:rPr>
          <w:sz w:val="24"/>
          <w:szCs w:val="24"/>
          <w:lang w:val="mk-MK"/>
        </w:rPr>
      </w:pPr>
      <w:r>
        <w:rPr>
          <w:sz w:val="24"/>
          <w:szCs w:val="24"/>
          <w:lang w:val="mk-MK"/>
        </w:rPr>
        <w:t>26.1</w:t>
      </w:r>
      <w:r w:rsidR="003343FC">
        <w:rPr>
          <w:sz w:val="24"/>
          <w:szCs w:val="24"/>
          <w:lang w:val="mk-MK"/>
        </w:rPr>
        <w:t>60</w:t>
      </w:r>
      <w:r>
        <w:rPr>
          <w:sz w:val="24"/>
          <w:szCs w:val="24"/>
          <w:lang w:val="mk-MK"/>
        </w:rPr>
        <w:tab/>
      </w:r>
      <w:r w:rsidR="003343FC">
        <w:rPr>
          <w:sz w:val="24"/>
          <w:szCs w:val="24"/>
          <w:lang w:val="mk-MK"/>
        </w:rPr>
        <w:t>Заштита од пожар во санитарни</w:t>
      </w:r>
      <w:r w:rsidR="00306A92">
        <w:rPr>
          <w:sz w:val="24"/>
          <w:szCs w:val="24"/>
          <w:lang w:val="mk-MK"/>
        </w:rPr>
        <w:t>те простории</w:t>
      </w:r>
    </w:p>
    <w:p w14:paraId="08B33689" w14:textId="77777777" w:rsidR="00386DC0" w:rsidRPr="001E574E" w:rsidRDefault="00386DC0" w:rsidP="00386DC0">
      <w:pPr>
        <w:tabs>
          <w:tab w:val="left" w:pos="851"/>
        </w:tabs>
        <w:ind w:right="429"/>
        <w:jc w:val="both"/>
        <w:rPr>
          <w:sz w:val="24"/>
          <w:szCs w:val="24"/>
          <w:lang w:val="en-US"/>
        </w:rPr>
      </w:pPr>
    </w:p>
    <w:p w14:paraId="5E3FCFCE" w14:textId="416BC31A" w:rsidR="00386DC0" w:rsidRPr="001E574E" w:rsidRDefault="00386DC0" w:rsidP="00386DC0">
      <w:pPr>
        <w:tabs>
          <w:tab w:val="left" w:pos="1276"/>
        </w:tabs>
        <w:ind w:left="426" w:right="429"/>
        <w:jc w:val="both"/>
        <w:rPr>
          <w:sz w:val="24"/>
          <w:szCs w:val="24"/>
          <w:lang w:val="mk-MK"/>
        </w:rPr>
      </w:pPr>
      <w:r>
        <w:rPr>
          <w:sz w:val="24"/>
          <w:szCs w:val="24"/>
          <w:lang w:val="mk-MK"/>
        </w:rPr>
        <w:t>26.17</w:t>
      </w:r>
      <w:r w:rsidR="003343FC">
        <w:rPr>
          <w:sz w:val="24"/>
          <w:szCs w:val="24"/>
          <w:lang w:val="mk-MK"/>
        </w:rPr>
        <w:t>0</w:t>
      </w:r>
      <w:r>
        <w:rPr>
          <w:sz w:val="24"/>
          <w:szCs w:val="24"/>
          <w:lang w:val="mk-MK"/>
        </w:rPr>
        <w:tab/>
      </w:r>
      <w:r w:rsidR="003343FC">
        <w:rPr>
          <w:sz w:val="24"/>
          <w:szCs w:val="24"/>
          <w:lang w:val="mk-MK"/>
        </w:rPr>
        <w:t>Апарати за гасење пожар</w:t>
      </w:r>
    </w:p>
    <w:p w14:paraId="5113E7DA" w14:textId="77777777" w:rsidR="00386DC0" w:rsidRPr="001E574E" w:rsidRDefault="00386DC0" w:rsidP="00386DC0">
      <w:pPr>
        <w:tabs>
          <w:tab w:val="left" w:pos="851"/>
        </w:tabs>
        <w:ind w:right="429"/>
        <w:jc w:val="both"/>
        <w:rPr>
          <w:sz w:val="24"/>
          <w:szCs w:val="24"/>
          <w:lang w:val="en-US"/>
        </w:rPr>
      </w:pPr>
    </w:p>
    <w:p w14:paraId="03B2841E" w14:textId="462BEC3E" w:rsidR="00386DC0" w:rsidRPr="001E574E" w:rsidRDefault="00386DC0" w:rsidP="00386DC0">
      <w:pPr>
        <w:tabs>
          <w:tab w:val="left" w:pos="1276"/>
        </w:tabs>
        <w:ind w:left="426" w:right="429"/>
        <w:jc w:val="both"/>
        <w:rPr>
          <w:sz w:val="24"/>
          <w:szCs w:val="24"/>
          <w:lang w:val="mk-MK"/>
        </w:rPr>
      </w:pPr>
      <w:r>
        <w:rPr>
          <w:sz w:val="24"/>
          <w:szCs w:val="24"/>
          <w:lang w:val="mk-MK"/>
        </w:rPr>
        <w:t>26.</w:t>
      </w:r>
      <w:r w:rsidR="003343FC">
        <w:rPr>
          <w:sz w:val="24"/>
          <w:szCs w:val="24"/>
          <w:lang w:val="mk-MK"/>
        </w:rPr>
        <w:t>200</w:t>
      </w:r>
      <w:r>
        <w:rPr>
          <w:sz w:val="24"/>
          <w:szCs w:val="24"/>
          <w:lang w:val="mk-MK"/>
        </w:rPr>
        <w:tab/>
      </w:r>
      <w:r w:rsidR="003343FC">
        <w:rPr>
          <w:sz w:val="24"/>
          <w:szCs w:val="24"/>
          <w:lang w:val="mk-MK"/>
        </w:rPr>
        <w:t xml:space="preserve">Звучно предупредување </w:t>
      </w:r>
      <w:r w:rsidR="00306A92">
        <w:rPr>
          <w:sz w:val="24"/>
          <w:szCs w:val="24"/>
          <w:lang w:val="mk-MK"/>
        </w:rPr>
        <w:t xml:space="preserve">при вклучување на </w:t>
      </w:r>
      <w:r w:rsidR="00306A92" w:rsidRPr="00B47252">
        <w:rPr>
          <w:sz w:val="24"/>
          <w:szCs w:val="24"/>
          <w:lang w:val="mk-MK"/>
        </w:rPr>
        <w:t xml:space="preserve">опремата за слетување </w:t>
      </w:r>
    </w:p>
    <w:p w14:paraId="72833847" w14:textId="77777777" w:rsidR="00386DC0" w:rsidRPr="001E574E" w:rsidRDefault="00386DC0" w:rsidP="00386DC0">
      <w:pPr>
        <w:tabs>
          <w:tab w:val="left" w:pos="851"/>
        </w:tabs>
        <w:ind w:right="429"/>
        <w:jc w:val="both"/>
        <w:rPr>
          <w:sz w:val="24"/>
          <w:szCs w:val="24"/>
          <w:lang w:val="en-US"/>
        </w:rPr>
      </w:pPr>
    </w:p>
    <w:p w14:paraId="2F1303A4" w14:textId="56895232" w:rsidR="00386DC0" w:rsidRPr="001E574E" w:rsidRDefault="00386DC0" w:rsidP="00456ABA">
      <w:pPr>
        <w:tabs>
          <w:tab w:val="left" w:pos="1276"/>
        </w:tabs>
        <w:ind w:left="1276" w:right="429" w:hanging="850"/>
        <w:jc w:val="both"/>
        <w:rPr>
          <w:sz w:val="24"/>
          <w:szCs w:val="24"/>
          <w:lang w:val="mk-MK"/>
        </w:rPr>
      </w:pPr>
      <w:r>
        <w:rPr>
          <w:sz w:val="24"/>
          <w:szCs w:val="24"/>
          <w:lang w:val="mk-MK"/>
        </w:rPr>
        <w:t>26.</w:t>
      </w:r>
      <w:r w:rsidR="005E0524">
        <w:rPr>
          <w:sz w:val="24"/>
          <w:szCs w:val="24"/>
          <w:lang w:val="mk-MK"/>
        </w:rPr>
        <w:t>250</w:t>
      </w:r>
      <w:r>
        <w:rPr>
          <w:sz w:val="24"/>
          <w:szCs w:val="24"/>
          <w:lang w:val="mk-MK"/>
        </w:rPr>
        <w:tab/>
      </w:r>
      <w:r w:rsidR="00282FC6">
        <w:rPr>
          <w:sz w:val="24"/>
          <w:szCs w:val="24"/>
          <w:lang w:val="mk-MK"/>
        </w:rPr>
        <w:t>Систем</w:t>
      </w:r>
      <w:r w:rsidR="00306A92">
        <w:rPr>
          <w:sz w:val="24"/>
          <w:szCs w:val="24"/>
          <w:lang w:val="mk-MK"/>
        </w:rPr>
        <w:t>и</w:t>
      </w:r>
      <w:r w:rsidR="00282FC6">
        <w:rPr>
          <w:sz w:val="24"/>
          <w:szCs w:val="24"/>
          <w:lang w:val="mk-MK"/>
        </w:rPr>
        <w:t xml:space="preserve"> за работа на врата</w:t>
      </w:r>
      <w:r w:rsidR="00306A92">
        <w:rPr>
          <w:sz w:val="24"/>
          <w:szCs w:val="24"/>
          <w:lang w:val="mk-MK"/>
        </w:rPr>
        <w:t xml:space="preserve"> од </w:t>
      </w:r>
      <w:r w:rsidR="00282FC6">
        <w:rPr>
          <w:sz w:val="24"/>
          <w:szCs w:val="24"/>
          <w:lang w:val="mk-MK"/>
        </w:rPr>
        <w:t xml:space="preserve"> пилотската каби</w:t>
      </w:r>
      <w:r w:rsidR="00C36754">
        <w:rPr>
          <w:sz w:val="24"/>
          <w:szCs w:val="24"/>
          <w:lang w:val="mk-MK"/>
        </w:rPr>
        <w:t xml:space="preserve">на </w:t>
      </w:r>
      <w:r w:rsidR="00372C18">
        <w:rPr>
          <w:sz w:val="24"/>
          <w:szCs w:val="24"/>
          <w:lang w:val="mk-MK"/>
        </w:rPr>
        <w:t>–</w:t>
      </w:r>
      <w:r w:rsidR="00C36754">
        <w:rPr>
          <w:sz w:val="24"/>
          <w:szCs w:val="24"/>
          <w:lang w:val="mk-MK"/>
        </w:rPr>
        <w:t xml:space="preserve"> </w:t>
      </w:r>
      <w:r w:rsidR="00372C18">
        <w:rPr>
          <w:sz w:val="24"/>
          <w:szCs w:val="24"/>
          <w:lang w:val="mk-MK"/>
        </w:rPr>
        <w:t>едно лице онеспособено</w:t>
      </w:r>
    </w:p>
    <w:p w14:paraId="077F6A32" w14:textId="731B834D" w:rsidR="00386DC0" w:rsidRDefault="00386DC0" w:rsidP="00386DC0">
      <w:pPr>
        <w:tabs>
          <w:tab w:val="left" w:pos="851"/>
        </w:tabs>
        <w:ind w:right="429"/>
        <w:jc w:val="both"/>
        <w:rPr>
          <w:sz w:val="24"/>
          <w:szCs w:val="24"/>
          <w:lang w:val="en-US"/>
        </w:rPr>
      </w:pPr>
    </w:p>
    <w:p w14:paraId="01891724" w14:textId="03495E6E" w:rsidR="000D05D2" w:rsidRDefault="000D05D2" w:rsidP="00386DC0">
      <w:pPr>
        <w:tabs>
          <w:tab w:val="left" w:pos="851"/>
        </w:tabs>
        <w:ind w:right="429"/>
        <w:jc w:val="both"/>
        <w:rPr>
          <w:sz w:val="24"/>
          <w:szCs w:val="24"/>
          <w:lang w:val="en-US"/>
        </w:rPr>
      </w:pPr>
    </w:p>
    <w:p w14:paraId="1765E9EC" w14:textId="7107ADF5" w:rsidR="00C9345E" w:rsidRDefault="00C9345E" w:rsidP="00C9345E">
      <w:pPr>
        <w:ind w:left="426" w:right="429"/>
        <w:jc w:val="both"/>
        <w:rPr>
          <w:sz w:val="24"/>
          <w:szCs w:val="24"/>
          <w:lang w:val="mk-MK"/>
        </w:rPr>
      </w:pPr>
      <w:r>
        <w:rPr>
          <w:sz w:val="24"/>
          <w:szCs w:val="24"/>
          <w:lang w:val="mk-MK"/>
        </w:rPr>
        <w:t>ПОДДЕЛ В – ГОЛЕМИ ХЕЛИКОПТЕРИ</w:t>
      </w:r>
    </w:p>
    <w:p w14:paraId="30B844BB" w14:textId="77777777" w:rsidR="000D05D2" w:rsidRPr="001E574E" w:rsidRDefault="000D05D2" w:rsidP="00386DC0">
      <w:pPr>
        <w:tabs>
          <w:tab w:val="left" w:pos="851"/>
        </w:tabs>
        <w:ind w:right="429"/>
        <w:jc w:val="both"/>
        <w:rPr>
          <w:sz w:val="24"/>
          <w:szCs w:val="24"/>
          <w:lang w:val="en-US"/>
        </w:rPr>
      </w:pPr>
    </w:p>
    <w:p w14:paraId="3E19BBCF" w14:textId="6C716A53" w:rsidR="00386DC0" w:rsidRPr="001E574E" w:rsidRDefault="00386DC0" w:rsidP="00386DC0">
      <w:pPr>
        <w:tabs>
          <w:tab w:val="left" w:pos="1276"/>
        </w:tabs>
        <w:ind w:left="426" w:right="429"/>
        <w:jc w:val="both"/>
        <w:rPr>
          <w:sz w:val="24"/>
          <w:szCs w:val="24"/>
          <w:lang w:val="mk-MK"/>
        </w:rPr>
      </w:pPr>
      <w:r>
        <w:rPr>
          <w:sz w:val="24"/>
          <w:szCs w:val="24"/>
          <w:lang w:val="mk-MK"/>
        </w:rPr>
        <w:t>26.</w:t>
      </w:r>
      <w:r w:rsidR="00610562">
        <w:rPr>
          <w:sz w:val="24"/>
          <w:szCs w:val="24"/>
          <w:lang w:val="mk-MK"/>
        </w:rPr>
        <w:t>400</w:t>
      </w:r>
      <w:r>
        <w:rPr>
          <w:sz w:val="24"/>
          <w:szCs w:val="24"/>
          <w:lang w:val="mk-MK"/>
        </w:rPr>
        <w:tab/>
      </w:r>
      <w:r w:rsidR="00610562">
        <w:rPr>
          <w:sz w:val="24"/>
          <w:szCs w:val="24"/>
          <w:lang w:val="mk-MK"/>
        </w:rPr>
        <w:t>Апарати за гасење пожар</w:t>
      </w:r>
      <w:r w:rsidR="00610562">
        <w:rPr>
          <w:sz w:val="24"/>
          <w:szCs w:val="24"/>
          <w:lang w:val="en-US"/>
        </w:rPr>
        <w:t>'</w:t>
      </w:r>
      <w:r w:rsidR="00610562">
        <w:rPr>
          <w:sz w:val="24"/>
          <w:szCs w:val="24"/>
          <w:lang w:val="mk-MK"/>
        </w:rPr>
        <w:t>;</w:t>
      </w:r>
    </w:p>
    <w:p w14:paraId="7C46BE26" w14:textId="77777777" w:rsidR="00386DC0" w:rsidRPr="001E574E" w:rsidRDefault="00386DC0" w:rsidP="00386DC0">
      <w:pPr>
        <w:tabs>
          <w:tab w:val="left" w:pos="851"/>
        </w:tabs>
        <w:ind w:right="429"/>
        <w:jc w:val="both"/>
        <w:rPr>
          <w:sz w:val="24"/>
          <w:szCs w:val="24"/>
          <w:lang w:val="en-US"/>
        </w:rPr>
      </w:pPr>
    </w:p>
    <w:p w14:paraId="7969D536" w14:textId="7E22A67E" w:rsidR="00386DC0" w:rsidRPr="001A334C" w:rsidRDefault="00386DC0" w:rsidP="00386DC0">
      <w:pPr>
        <w:tabs>
          <w:tab w:val="left" w:pos="426"/>
        </w:tabs>
        <w:ind w:right="429"/>
        <w:jc w:val="both"/>
        <w:rPr>
          <w:sz w:val="24"/>
          <w:szCs w:val="24"/>
          <w:lang w:val="mk-MK"/>
        </w:rPr>
      </w:pPr>
      <w:r>
        <w:rPr>
          <w:sz w:val="24"/>
          <w:szCs w:val="24"/>
          <w:lang w:val="mk-MK"/>
        </w:rPr>
        <w:t>(2)</w:t>
      </w:r>
      <w:r>
        <w:rPr>
          <w:sz w:val="24"/>
          <w:szCs w:val="24"/>
          <w:lang w:val="mk-MK"/>
        </w:rPr>
        <w:tab/>
        <w:t>се вметнува следната точка 26.60:</w:t>
      </w:r>
    </w:p>
    <w:p w14:paraId="09174197" w14:textId="1CDC53EF" w:rsidR="006877FB" w:rsidRDefault="006877FB" w:rsidP="006877FB">
      <w:pPr>
        <w:ind w:right="429"/>
        <w:rPr>
          <w:sz w:val="24"/>
          <w:szCs w:val="24"/>
        </w:rPr>
      </w:pPr>
    </w:p>
    <w:p w14:paraId="68F14EAC" w14:textId="59AB6D58" w:rsidR="00B97468" w:rsidRPr="001672C0" w:rsidRDefault="00B97468" w:rsidP="00B97468">
      <w:pPr>
        <w:tabs>
          <w:tab w:val="left" w:pos="1276"/>
        </w:tabs>
        <w:ind w:left="426" w:right="429"/>
        <w:jc w:val="both"/>
        <w:rPr>
          <w:b/>
          <w:bCs/>
          <w:sz w:val="24"/>
          <w:szCs w:val="24"/>
          <w:lang w:val="mk-MK"/>
        </w:rPr>
      </w:pPr>
      <w:r w:rsidRPr="001672C0">
        <w:rPr>
          <w:b/>
          <w:bCs/>
          <w:sz w:val="24"/>
          <w:szCs w:val="24"/>
          <w:lang w:val="en-US"/>
        </w:rPr>
        <w:t>'</w:t>
      </w:r>
      <w:r w:rsidRPr="001672C0">
        <w:rPr>
          <w:b/>
          <w:bCs/>
          <w:sz w:val="24"/>
          <w:szCs w:val="24"/>
          <w:lang w:val="mk-MK"/>
        </w:rPr>
        <w:t>26.60</w:t>
      </w:r>
      <w:r w:rsidRPr="001672C0">
        <w:rPr>
          <w:b/>
          <w:bCs/>
          <w:sz w:val="24"/>
          <w:szCs w:val="24"/>
          <w:lang w:val="mk-MK"/>
        </w:rPr>
        <w:tab/>
        <w:t>Принудно слетување – динамични услови</w:t>
      </w:r>
    </w:p>
    <w:p w14:paraId="4B8CB7F6" w14:textId="707A44C9" w:rsidR="00386DC0" w:rsidRDefault="00386DC0" w:rsidP="006877FB">
      <w:pPr>
        <w:ind w:right="429"/>
        <w:rPr>
          <w:sz w:val="24"/>
          <w:szCs w:val="24"/>
        </w:rPr>
      </w:pPr>
    </w:p>
    <w:p w14:paraId="1DADCCDB" w14:textId="5D48C6C6" w:rsidR="00386DC0" w:rsidRDefault="00B12A3C" w:rsidP="00805AAB">
      <w:pPr>
        <w:ind w:left="426" w:right="429"/>
        <w:jc w:val="both"/>
        <w:rPr>
          <w:sz w:val="24"/>
          <w:szCs w:val="24"/>
          <w:lang w:val="mk-MK"/>
        </w:rPr>
      </w:pPr>
      <w:r>
        <w:rPr>
          <w:sz w:val="24"/>
          <w:szCs w:val="24"/>
          <w:lang w:val="mk-MK"/>
        </w:rPr>
        <w:t xml:space="preserve">Операторите на големи </w:t>
      </w:r>
      <w:r w:rsidR="00111AB7">
        <w:rPr>
          <w:sz w:val="24"/>
          <w:szCs w:val="24"/>
          <w:lang w:val="mk-MK"/>
        </w:rPr>
        <w:t xml:space="preserve">авиони кои се користат во комерцијален </w:t>
      </w:r>
      <w:r w:rsidR="008A3A4E">
        <w:rPr>
          <w:sz w:val="24"/>
          <w:szCs w:val="24"/>
          <w:lang w:val="mk-MK"/>
        </w:rPr>
        <w:t xml:space="preserve">воздушен превоз </w:t>
      </w:r>
      <w:r w:rsidR="00C41484">
        <w:rPr>
          <w:sz w:val="24"/>
          <w:szCs w:val="24"/>
          <w:lang w:val="mk-MK"/>
        </w:rPr>
        <w:t xml:space="preserve">на патници, со уверение за тип издадено на или после 1 јануари 1958 година, и за кои </w:t>
      </w:r>
      <w:r w:rsidR="001D6AE1">
        <w:rPr>
          <w:sz w:val="24"/>
          <w:szCs w:val="24"/>
          <w:lang w:val="mk-MK"/>
        </w:rPr>
        <w:t xml:space="preserve">поединечното уверение за пловидбеност за прв пат е издадено на или после 18 февруари 2021 година, </w:t>
      </w:r>
      <w:r w:rsidR="00176E22">
        <w:rPr>
          <w:sz w:val="24"/>
          <w:szCs w:val="24"/>
          <w:lang w:val="mk-MK"/>
        </w:rPr>
        <w:t>за секој проект за тип на седишт</w:t>
      </w:r>
      <w:r w:rsidR="00805AAB">
        <w:rPr>
          <w:sz w:val="24"/>
          <w:szCs w:val="24"/>
          <w:lang w:val="mk-MK"/>
        </w:rPr>
        <w:t>е</w:t>
      </w:r>
      <w:r w:rsidR="00176E22">
        <w:rPr>
          <w:sz w:val="24"/>
          <w:szCs w:val="24"/>
          <w:lang w:val="mk-MK"/>
        </w:rPr>
        <w:t xml:space="preserve">, </w:t>
      </w:r>
      <w:r w:rsidR="00805AAB">
        <w:rPr>
          <w:sz w:val="24"/>
          <w:szCs w:val="24"/>
          <w:lang w:val="mk-MK"/>
        </w:rPr>
        <w:t xml:space="preserve">за </w:t>
      </w:r>
      <w:r w:rsidR="00176E22">
        <w:rPr>
          <w:sz w:val="24"/>
          <w:szCs w:val="24"/>
          <w:lang w:val="mk-MK"/>
        </w:rPr>
        <w:t>ко</w:t>
      </w:r>
      <w:r w:rsidR="00805AAB">
        <w:rPr>
          <w:sz w:val="24"/>
          <w:szCs w:val="24"/>
          <w:lang w:val="mk-MK"/>
        </w:rPr>
        <w:t>е постои одобрение да се седи во него за време на возење по земја, полетување или слетување докажуваат дека лицето во седиштето е заштитено кога е изложено на тежини/товар кои се јавуваат во услови на принудно слетување. Докажувањето се врши на еден од следните начини:</w:t>
      </w:r>
    </w:p>
    <w:p w14:paraId="4BFE792A" w14:textId="7C7B14EC" w:rsidR="002A7045" w:rsidRDefault="002A7045" w:rsidP="002A7045">
      <w:pPr>
        <w:ind w:right="429"/>
        <w:jc w:val="both"/>
        <w:rPr>
          <w:sz w:val="24"/>
          <w:szCs w:val="24"/>
          <w:lang w:val="mk-MK"/>
        </w:rPr>
      </w:pPr>
    </w:p>
    <w:p w14:paraId="18DEABAE" w14:textId="356384D0" w:rsidR="002A7045" w:rsidRDefault="00C44525" w:rsidP="00C44525">
      <w:pPr>
        <w:tabs>
          <w:tab w:val="left" w:pos="993"/>
        </w:tabs>
        <w:ind w:left="567" w:right="429"/>
        <w:jc w:val="both"/>
        <w:rPr>
          <w:sz w:val="24"/>
          <w:szCs w:val="24"/>
          <w:lang w:val="mk-MK"/>
        </w:rPr>
      </w:pPr>
      <w:r>
        <w:rPr>
          <w:sz w:val="24"/>
          <w:szCs w:val="24"/>
          <w:lang w:val="mk-MK"/>
        </w:rPr>
        <w:t>(а)</w:t>
      </w:r>
      <w:r>
        <w:rPr>
          <w:sz w:val="24"/>
          <w:szCs w:val="24"/>
          <w:lang w:val="mk-MK"/>
        </w:rPr>
        <w:tab/>
      </w:r>
      <w:r w:rsidR="00FA0881">
        <w:rPr>
          <w:sz w:val="24"/>
          <w:szCs w:val="24"/>
          <w:lang w:val="mk-MK"/>
        </w:rPr>
        <w:t>со успешно завршени динамички испитувања;</w:t>
      </w:r>
    </w:p>
    <w:p w14:paraId="3C0487F8" w14:textId="55D66E02" w:rsidR="002A7045" w:rsidRDefault="002A7045" w:rsidP="00FA0881">
      <w:pPr>
        <w:ind w:right="429"/>
        <w:jc w:val="both"/>
        <w:rPr>
          <w:sz w:val="24"/>
          <w:szCs w:val="24"/>
          <w:lang w:val="mk-MK"/>
        </w:rPr>
      </w:pPr>
    </w:p>
    <w:p w14:paraId="5E91174D" w14:textId="20DA1E89" w:rsidR="00FA0881" w:rsidRDefault="00FA0881" w:rsidP="00FA0881">
      <w:pPr>
        <w:tabs>
          <w:tab w:val="left" w:pos="993"/>
        </w:tabs>
        <w:ind w:left="993" w:right="429" w:hanging="426"/>
        <w:jc w:val="both"/>
        <w:rPr>
          <w:sz w:val="24"/>
          <w:szCs w:val="24"/>
          <w:lang w:val="mk-MK"/>
        </w:rPr>
      </w:pPr>
      <w:r>
        <w:rPr>
          <w:sz w:val="24"/>
          <w:szCs w:val="24"/>
          <w:lang w:val="mk-MK"/>
        </w:rPr>
        <w:t>(б)</w:t>
      </w:r>
      <w:r>
        <w:rPr>
          <w:sz w:val="24"/>
          <w:szCs w:val="24"/>
          <w:lang w:val="mk-MK"/>
        </w:rPr>
        <w:tab/>
        <w:t>со анализа со која, врз основа на динамичките испитувања на сличен тип на проект на седишта, се докажува дека нивото на безбедност е еквивалентно.</w:t>
      </w:r>
    </w:p>
    <w:p w14:paraId="1A2E90B0" w14:textId="77777777" w:rsidR="00FA0881" w:rsidRDefault="00FA0881" w:rsidP="00FA0881">
      <w:pPr>
        <w:tabs>
          <w:tab w:val="left" w:pos="993"/>
        </w:tabs>
        <w:ind w:right="429"/>
        <w:jc w:val="both"/>
        <w:rPr>
          <w:sz w:val="24"/>
          <w:szCs w:val="24"/>
          <w:lang w:val="mk-MK"/>
        </w:rPr>
      </w:pPr>
    </w:p>
    <w:p w14:paraId="3A9FA58E" w14:textId="796F948D" w:rsidR="00FA0881" w:rsidRDefault="00FA0881" w:rsidP="00FA0881">
      <w:pPr>
        <w:tabs>
          <w:tab w:val="left" w:pos="993"/>
        </w:tabs>
        <w:ind w:left="567" w:right="429"/>
        <w:jc w:val="both"/>
        <w:rPr>
          <w:sz w:val="24"/>
          <w:szCs w:val="24"/>
          <w:lang w:val="mk-MK"/>
        </w:rPr>
      </w:pPr>
      <w:r>
        <w:rPr>
          <w:sz w:val="24"/>
          <w:szCs w:val="24"/>
          <w:lang w:val="mk-MK"/>
        </w:rPr>
        <w:t>Обврската која е поставена во првиот став не смее да се применува на следните седишта:</w:t>
      </w:r>
    </w:p>
    <w:p w14:paraId="26BD0BA0" w14:textId="77777777" w:rsidR="00FA0881" w:rsidRDefault="00FA0881" w:rsidP="00FA0881">
      <w:pPr>
        <w:tabs>
          <w:tab w:val="left" w:pos="993"/>
        </w:tabs>
        <w:ind w:right="429"/>
        <w:jc w:val="both"/>
        <w:rPr>
          <w:sz w:val="24"/>
          <w:szCs w:val="24"/>
          <w:lang w:val="mk-MK"/>
        </w:rPr>
      </w:pPr>
    </w:p>
    <w:p w14:paraId="7F37C2EE" w14:textId="21FF893C" w:rsidR="00FA0881" w:rsidRDefault="00FA0881" w:rsidP="00FA0881">
      <w:pPr>
        <w:tabs>
          <w:tab w:val="left" w:pos="993"/>
        </w:tabs>
        <w:ind w:left="567" w:right="429"/>
        <w:jc w:val="both"/>
        <w:rPr>
          <w:sz w:val="24"/>
          <w:szCs w:val="24"/>
          <w:lang w:val="mk-MK"/>
        </w:rPr>
      </w:pPr>
      <w:r>
        <w:rPr>
          <w:sz w:val="24"/>
          <w:szCs w:val="24"/>
          <w:lang w:val="mk-MK"/>
        </w:rPr>
        <w:t>(а)</w:t>
      </w:r>
      <w:r>
        <w:rPr>
          <w:sz w:val="24"/>
          <w:szCs w:val="24"/>
          <w:lang w:val="mk-MK"/>
        </w:rPr>
        <w:tab/>
      </w:r>
      <w:r w:rsidR="009E198B">
        <w:rPr>
          <w:sz w:val="24"/>
          <w:szCs w:val="24"/>
          <w:lang w:val="mk-MK"/>
        </w:rPr>
        <w:t>на седиштата во пилотската кабина/ седиштата за екипажот на летање,</w:t>
      </w:r>
    </w:p>
    <w:p w14:paraId="03DA9B50" w14:textId="77777777" w:rsidR="00FA0881" w:rsidRDefault="00FA0881" w:rsidP="00FA0881">
      <w:pPr>
        <w:tabs>
          <w:tab w:val="left" w:pos="993"/>
        </w:tabs>
        <w:ind w:right="429"/>
        <w:jc w:val="both"/>
        <w:rPr>
          <w:sz w:val="24"/>
          <w:szCs w:val="24"/>
          <w:lang w:val="mk-MK"/>
        </w:rPr>
      </w:pPr>
    </w:p>
    <w:p w14:paraId="193E1C20" w14:textId="18B4D0BD" w:rsidR="00FA0881" w:rsidRDefault="00FA0881" w:rsidP="008F29AD">
      <w:pPr>
        <w:tabs>
          <w:tab w:val="left" w:pos="993"/>
        </w:tabs>
        <w:ind w:left="993" w:right="429" w:hanging="426"/>
        <w:jc w:val="both"/>
        <w:rPr>
          <w:sz w:val="24"/>
          <w:szCs w:val="24"/>
          <w:lang w:val="mk-MK"/>
        </w:rPr>
      </w:pPr>
      <w:r>
        <w:rPr>
          <w:sz w:val="24"/>
          <w:szCs w:val="24"/>
          <w:lang w:val="mk-MK"/>
        </w:rPr>
        <w:t>(</w:t>
      </w:r>
      <w:r w:rsidR="009E198B">
        <w:rPr>
          <w:sz w:val="24"/>
          <w:szCs w:val="24"/>
          <w:lang w:val="mk-MK"/>
        </w:rPr>
        <w:t>б</w:t>
      </w:r>
      <w:r>
        <w:rPr>
          <w:sz w:val="24"/>
          <w:szCs w:val="24"/>
          <w:lang w:val="mk-MK"/>
        </w:rPr>
        <w:t>)</w:t>
      </w:r>
      <w:r>
        <w:rPr>
          <w:sz w:val="24"/>
          <w:szCs w:val="24"/>
          <w:lang w:val="mk-MK"/>
        </w:rPr>
        <w:tab/>
      </w:r>
      <w:r w:rsidR="008F29AD">
        <w:rPr>
          <w:sz w:val="24"/>
          <w:szCs w:val="24"/>
          <w:lang w:val="mk-MK"/>
        </w:rPr>
        <w:t>на седиштата во авиони со помал капацитет на патници, кои се вклучени во операции на нередовен комерцијален воздушен превоз, кој се врши на барање.</w:t>
      </w:r>
      <w:r w:rsidR="008F29AD">
        <w:rPr>
          <w:sz w:val="24"/>
          <w:szCs w:val="24"/>
          <w:lang w:val="en-US"/>
        </w:rPr>
        <w:t>'</w:t>
      </w:r>
      <w:r w:rsidR="008F29AD">
        <w:rPr>
          <w:sz w:val="24"/>
          <w:szCs w:val="24"/>
          <w:lang w:val="mk-MK"/>
        </w:rPr>
        <w:t>;</w:t>
      </w:r>
    </w:p>
    <w:p w14:paraId="1E472855" w14:textId="2AE3040C" w:rsidR="00FA0881" w:rsidRDefault="00FA0881" w:rsidP="00FA0881">
      <w:pPr>
        <w:ind w:right="429"/>
        <w:jc w:val="both"/>
        <w:rPr>
          <w:sz w:val="24"/>
          <w:szCs w:val="24"/>
          <w:lang w:val="mk-MK"/>
        </w:rPr>
      </w:pPr>
    </w:p>
    <w:p w14:paraId="212E6AEF" w14:textId="3840EDA7" w:rsidR="001C139B" w:rsidRPr="001A334C" w:rsidRDefault="001C139B" w:rsidP="001C139B">
      <w:pPr>
        <w:tabs>
          <w:tab w:val="left" w:pos="426"/>
        </w:tabs>
        <w:ind w:right="429"/>
        <w:jc w:val="both"/>
        <w:rPr>
          <w:sz w:val="24"/>
          <w:szCs w:val="24"/>
          <w:lang w:val="mk-MK"/>
        </w:rPr>
      </w:pPr>
      <w:r>
        <w:rPr>
          <w:sz w:val="24"/>
          <w:szCs w:val="24"/>
          <w:lang w:val="mk-MK"/>
        </w:rPr>
        <w:t>(3)</w:t>
      </w:r>
      <w:r>
        <w:rPr>
          <w:sz w:val="24"/>
          <w:szCs w:val="24"/>
          <w:lang w:val="mk-MK"/>
        </w:rPr>
        <w:tab/>
        <w:t>се вметнува следната точка 26.156:</w:t>
      </w:r>
    </w:p>
    <w:p w14:paraId="0CC90FE5" w14:textId="77777777" w:rsidR="001C139B" w:rsidRDefault="001C139B" w:rsidP="001C139B">
      <w:pPr>
        <w:ind w:right="429"/>
        <w:rPr>
          <w:sz w:val="24"/>
          <w:szCs w:val="24"/>
        </w:rPr>
      </w:pPr>
    </w:p>
    <w:p w14:paraId="18737918" w14:textId="3D65A1EB" w:rsidR="001C139B" w:rsidRPr="001672C0" w:rsidRDefault="001C139B" w:rsidP="001C139B">
      <w:pPr>
        <w:tabs>
          <w:tab w:val="left" w:pos="1276"/>
        </w:tabs>
        <w:ind w:left="426" w:right="429"/>
        <w:jc w:val="both"/>
        <w:rPr>
          <w:b/>
          <w:bCs/>
          <w:sz w:val="24"/>
          <w:szCs w:val="24"/>
          <w:lang w:val="mk-MK"/>
        </w:rPr>
      </w:pPr>
      <w:r w:rsidRPr="001672C0">
        <w:rPr>
          <w:b/>
          <w:bCs/>
          <w:sz w:val="24"/>
          <w:szCs w:val="24"/>
          <w:lang w:val="en-US"/>
        </w:rPr>
        <w:t>'</w:t>
      </w:r>
      <w:r w:rsidRPr="001672C0">
        <w:rPr>
          <w:b/>
          <w:bCs/>
          <w:sz w:val="24"/>
          <w:szCs w:val="24"/>
          <w:lang w:val="mk-MK"/>
        </w:rPr>
        <w:t>26.</w:t>
      </w:r>
      <w:r w:rsidR="001B7C11">
        <w:rPr>
          <w:b/>
          <w:bCs/>
          <w:sz w:val="24"/>
          <w:szCs w:val="24"/>
          <w:lang w:val="mk-MK"/>
        </w:rPr>
        <w:t>156</w:t>
      </w:r>
      <w:r w:rsidRPr="001672C0">
        <w:rPr>
          <w:b/>
          <w:bCs/>
          <w:sz w:val="24"/>
          <w:szCs w:val="24"/>
          <w:lang w:val="mk-MK"/>
        </w:rPr>
        <w:tab/>
      </w:r>
      <w:r w:rsidR="001B7C11">
        <w:rPr>
          <w:b/>
          <w:bCs/>
          <w:sz w:val="24"/>
          <w:szCs w:val="24"/>
          <w:lang w:val="mk-MK"/>
        </w:rPr>
        <w:t>Материјал за топлинска и звучна изолација</w:t>
      </w:r>
    </w:p>
    <w:p w14:paraId="20F94A57" w14:textId="462ADA1F" w:rsidR="001C139B" w:rsidRPr="004F6695" w:rsidRDefault="001C139B" w:rsidP="001C139B">
      <w:pPr>
        <w:ind w:right="429"/>
        <w:rPr>
          <w:sz w:val="24"/>
          <w:szCs w:val="24"/>
          <w:lang w:val="mk-MK"/>
        </w:rPr>
      </w:pPr>
    </w:p>
    <w:p w14:paraId="0082C8AA" w14:textId="77777777" w:rsidR="004F6695" w:rsidRDefault="001C139B" w:rsidP="001C139B">
      <w:pPr>
        <w:ind w:left="426" w:right="429"/>
        <w:jc w:val="both"/>
        <w:rPr>
          <w:sz w:val="24"/>
          <w:szCs w:val="24"/>
          <w:lang w:val="mk-MK"/>
        </w:rPr>
      </w:pPr>
      <w:r>
        <w:rPr>
          <w:sz w:val="24"/>
          <w:szCs w:val="24"/>
          <w:lang w:val="mk-MK"/>
        </w:rPr>
        <w:t>Операторите на големи авиони кои се користат во комерцијален воздушен превоз</w:t>
      </w:r>
      <w:r w:rsidR="004F6695">
        <w:rPr>
          <w:sz w:val="24"/>
          <w:szCs w:val="24"/>
          <w:lang w:val="mk-MK"/>
        </w:rPr>
        <w:t xml:space="preserve">, </w:t>
      </w:r>
      <w:r>
        <w:rPr>
          <w:sz w:val="24"/>
          <w:szCs w:val="24"/>
          <w:lang w:val="mk-MK"/>
        </w:rPr>
        <w:t xml:space="preserve">со уверение за тип издадено на или после 1 јануари 1958 година, </w:t>
      </w:r>
      <w:r w:rsidR="004F6695">
        <w:rPr>
          <w:sz w:val="24"/>
          <w:szCs w:val="24"/>
          <w:lang w:val="mk-MK"/>
        </w:rPr>
        <w:t>обезбедуваат дека:</w:t>
      </w:r>
    </w:p>
    <w:p w14:paraId="4EC572CC" w14:textId="77777777" w:rsidR="004F6695" w:rsidRDefault="004F6695" w:rsidP="004F6695">
      <w:pPr>
        <w:ind w:right="429"/>
        <w:jc w:val="both"/>
        <w:rPr>
          <w:sz w:val="24"/>
          <w:szCs w:val="24"/>
          <w:lang w:val="mk-MK"/>
        </w:rPr>
      </w:pPr>
    </w:p>
    <w:p w14:paraId="68AA4243" w14:textId="0AF29CB6" w:rsidR="004F6695" w:rsidRDefault="004F6695" w:rsidP="004F6695">
      <w:pPr>
        <w:tabs>
          <w:tab w:val="left" w:pos="993"/>
        </w:tabs>
        <w:ind w:left="993" w:right="429" w:hanging="426"/>
        <w:jc w:val="both"/>
        <w:rPr>
          <w:sz w:val="24"/>
          <w:szCs w:val="24"/>
          <w:lang w:val="mk-MK"/>
        </w:rPr>
      </w:pPr>
      <w:r>
        <w:rPr>
          <w:sz w:val="24"/>
          <w:szCs w:val="24"/>
          <w:lang w:val="mk-MK"/>
        </w:rPr>
        <w:t>(а)</w:t>
      </w:r>
      <w:r>
        <w:rPr>
          <w:sz w:val="24"/>
          <w:szCs w:val="24"/>
          <w:lang w:val="mk-MK"/>
        </w:rPr>
        <w:tab/>
        <w:t>за авиони</w:t>
      </w:r>
      <w:r w:rsidR="00134686">
        <w:rPr>
          <w:sz w:val="24"/>
          <w:szCs w:val="24"/>
          <w:lang w:val="mk-MK"/>
        </w:rPr>
        <w:t>те</w:t>
      </w:r>
      <w:r>
        <w:rPr>
          <w:sz w:val="24"/>
          <w:szCs w:val="24"/>
          <w:lang w:val="mk-MK"/>
        </w:rPr>
        <w:t xml:space="preserve"> за кои поединечното уверение за пловидбеност за прв пат е издадено на или после 18 февруари 2021 година, </w:t>
      </w:r>
      <w:r w:rsidR="00134686">
        <w:rPr>
          <w:sz w:val="24"/>
          <w:szCs w:val="24"/>
          <w:lang w:val="mk-MK"/>
        </w:rPr>
        <w:t xml:space="preserve">кога како замена се инсталира нов материјал за топлинска и звучна изолација на или после 18 февруари 2021 година, </w:t>
      </w:r>
      <w:r w:rsidR="0047661B">
        <w:rPr>
          <w:sz w:val="24"/>
          <w:szCs w:val="24"/>
          <w:lang w:val="mk-MK"/>
        </w:rPr>
        <w:t xml:space="preserve">овој материјал е отпорен на ширење на пожар и со карактеристики за спречување или </w:t>
      </w:r>
      <w:r w:rsidR="00723942">
        <w:rPr>
          <w:sz w:val="24"/>
          <w:szCs w:val="24"/>
          <w:lang w:val="mk-MK"/>
        </w:rPr>
        <w:t>намалување на ризик од ширење на пожар во авионот;</w:t>
      </w:r>
    </w:p>
    <w:p w14:paraId="194FDE50" w14:textId="36A66D9A" w:rsidR="004F6695" w:rsidRDefault="004F6695" w:rsidP="004F6695">
      <w:pPr>
        <w:ind w:right="429"/>
        <w:jc w:val="both"/>
        <w:rPr>
          <w:sz w:val="24"/>
          <w:szCs w:val="24"/>
          <w:lang w:val="mk-MK"/>
        </w:rPr>
      </w:pPr>
    </w:p>
    <w:p w14:paraId="3F7F68C5" w14:textId="76AE73C4" w:rsidR="007B2150" w:rsidRDefault="007B2150" w:rsidP="007B2150">
      <w:pPr>
        <w:tabs>
          <w:tab w:val="left" w:pos="993"/>
        </w:tabs>
        <w:ind w:left="993" w:right="429" w:hanging="426"/>
        <w:jc w:val="both"/>
        <w:rPr>
          <w:sz w:val="24"/>
          <w:szCs w:val="24"/>
          <w:lang w:val="mk-MK"/>
        </w:rPr>
      </w:pPr>
      <w:r>
        <w:rPr>
          <w:sz w:val="24"/>
          <w:szCs w:val="24"/>
          <w:lang w:val="mk-MK"/>
        </w:rPr>
        <w:t>(б)</w:t>
      </w:r>
      <w:r>
        <w:rPr>
          <w:sz w:val="24"/>
          <w:szCs w:val="24"/>
          <w:lang w:val="mk-MK"/>
        </w:rPr>
        <w:tab/>
        <w:t xml:space="preserve">за авионите за кои поединечното уверение за пловидбеност за прв пат е издадено на или после 18 февруари 2021 година, </w:t>
      </w:r>
      <w:r w:rsidR="00C6193D">
        <w:rPr>
          <w:sz w:val="24"/>
          <w:szCs w:val="24"/>
          <w:lang w:val="mk-MK"/>
        </w:rPr>
        <w:t xml:space="preserve">материјалот </w:t>
      </w:r>
      <w:r w:rsidR="00363530">
        <w:rPr>
          <w:sz w:val="24"/>
          <w:szCs w:val="24"/>
          <w:lang w:val="mk-MK"/>
        </w:rPr>
        <w:t xml:space="preserve">за топлинска и звучна изолација </w:t>
      </w:r>
      <w:r w:rsidR="00C6193D">
        <w:rPr>
          <w:sz w:val="24"/>
          <w:szCs w:val="24"/>
          <w:lang w:val="mk-MK"/>
        </w:rPr>
        <w:t>е отпорен на ширење на пожар и со карактеристики за спречување или намалување на ризик од ширење на пожар во авионот;</w:t>
      </w:r>
    </w:p>
    <w:p w14:paraId="15E33366" w14:textId="77777777" w:rsidR="007B2150" w:rsidRDefault="007B2150" w:rsidP="007B2150">
      <w:pPr>
        <w:ind w:right="429"/>
        <w:jc w:val="both"/>
        <w:rPr>
          <w:sz w:val="24"/>
          <w:szCs w:val="24"/>
          <w:lang w:val="mk-MK"/>
        </w:rPr>
      </w:pPr>
    </w:p>
    <w:p w14:paraId="451137E7" w14:textId="6EECA802" w:rsidR="00C65CE9" w:rsidRDefault="00C65CE9" w:rsidP="00C65CE9">
      <w:pPr>
        <w:tabs>
          <w:tab w:val="left" w:pos="993"/>
        </w:tabs>
        <w:ind w:left="993" w:right="429" w:hanging="426"/>
        <w:jc w:val="both"/>
        <w:rPr>
          <w:sz w:val="24"/>
          <w:szCs w:val="24"/>
          <w:lang w:val="mk-MK"/>
        </w:rPr>
      </w:pPr>
      <w:r>
        <w:rPr>
          <w:sz w:val="24"/>
          <w:szCs w:val="24"/>
          <w:lang w:val="mk-MK"/>
        </w:rPr>
        <w:t>(в)</w:t>
      </w:r>
      <w:r>
        <w:rPr>
          <w:sz w:val="24"/>
          <w:szCs w:val="24"/>
          <w:lang w:val="mk-MK"/>
        </w:rPr>
        <w:tab/>
        <w:t xml:space="preserve">за авионите за кои поединечното уверение за пловидбеност за прв пат е </w:t>
      </w:r>
      <w:r>
        <w:rPr>
          <w:sz w:val="24"/>
          <w:szCs w:val="24"/>
          <w:lang w:val="mk-MK"/>
        </w:rPr>
        <w:lastRenderedPageBreak/>
        <w:t xml:space="preserve">издадено на или после 18 февруари 2021 година, </w:t>
      </w:r>
      <w:r w:rsidR="00D44DAB">
        <w:rPr>
          <w:sz w:val="24"/>
          <w:szCs w:val="24"/>
          <w:lang w:val="mk-MK"/>
        </w:rPr>
        <w:t xml:space="preserve">и со капацитет </w:t>
      </w:r>
      <w:r w:rsidR="008C3359">
        <w:rPr>
          <w:sz w:val="24"/>
          <w:szCs w:val="24"/>
          <w:lang w:val="mk-MK"/>
        </w:rPr>
        <w:t>од 20 или повеќе патници</w:t>
      </w:r>
      <w:r w:rsidR="00363530">
        <w:rPr>
          <w:sz w:val="24"/>
          <w:szCs w:val="24"/>
          <w:lang w:val="mk-MK"/>
        </w:rPr>
        <w:t xml:space="preserve">, материјалот за топлинска и звучна изолација </w:t>
      </w:r>
      <w:r w:rsidR="00C54E45">
        <w:rPr>
          <w:sz w:val="24"/>
          <w:szCs w:val="24"/>
          <w:lang w:val="mk-MK"/>
        </w:rPr>
        <w:t xml:space="preserve">(вклучувајќи ги и начините за прицврстување на материјалот </w:t>
      </w:r>
      <w:r w:rsidR="008C75FD">
        <w:rPr>
          <w:sz w:val="24"/>
          <w:szCs w:val="24"/>
          <w:lang w:val="mk-MK"/>
        </w:rPr>
        <w:t>во</w:t>
      </w:r>
      <w:r w:rsidR="00C54E45">
        <w:rPr>
          <w:sz w:val="24"/>
          <w:szCs w:val="24"/>
          <w:lang w:val="mk-MK"/>
        </w:rPr>
        <w:t xml:space="preserve"> </w:t>
      </w:r>
      <w:r w:rsidR="008C75FD">
        <w:rPr>
          <w:sz w:val="24"/>
          <w:szCs w:val="24"/>
          <w:lang w:val="mk-MK"/>
        </w:rPr>
        <w:t xml:space="preserve">трупот), </w:t>
      </w:r>
      <w:r>
        <w:rPr>
          <w:sz w:val="24"/>
          <w:szCs w:val="24"/>
          <w:lang w:val="mk-MK"/>
        </w:rPr>
        <w:t>ко</w:t>
      </w:r>
      <w:r w:rsidR="008C75FD">
        <w:rPr>
          <w:sz w:val="24"/>
          <w:szCs w:val="24"/>
          <w:lang w:val="mk-MK"/>
        </w:rPr>
        <w:t xml:space="preserve">ј се инсталира во долната половина на воздухопловот, </w:t>
      </w:r>
      <w:r>
        <w:rPr>
          <w:sz w:val="24"/>
          <w:szCs w:val="24"/>
          <w:lang w:val="mk-MK"/>
        </w:rPr>
        <w:t>е отпорен на ширење на пожар и со карактеристики за спречување или намалување на ризик од ширење на пожар во авионот</w:t>
      </w:r>
      <w:r w:rsidR="00DB1419">
        <w:rPr>
          <w:sz w:val="24"/>
          <w:szCs w:val="24"/>
          <w:lang w:val="mk-MK"/>
        </w:rPr>
        <w:t xml:space="preserve"> после инцидент </w:t>
      </w:r>
      <w:r w:rsidR="00183AC8">
        <w:rPr>
          <w:sz w:val="24"/>
          <w:szCs w:val="24"/>
          <w:lang w:val="mk-MK"/>
        </w:rPr>
        <w:t>и обезбедува дека во кабината може да се преживее/услови за преживување во кабината</w:t>
      </w:r>
      <w:r w:rsidR="00556CF1">
        <w:rPr>
          <w:sz w:val="24"/>
          <w:szCs w:val="24"/>
          <w:lang w:val="mk-MK"/>
        </w:rPr>
        <w:t>, во временски период кој е потребен за евакуирање на авионот.</w:t>
      </w:r>
      <w:r w:rsidR="00556CF1">
        <w:rPr>
          <w:sz w:val="24"/>
          <w:szCs w:val="24"/>
          <w:lang w:val="en-US"/>
        </w:rPr>
        <w:t>'</w:t>
      </w:r>
      <w:r>
        <w:rPr>
          <w:sz w:val="24"/>
          <w:szCs w:val="24"/>
          <w:lang w:val="mk-MK"/>
        </w:rPr>
        <w:t>;</w:t>
      </w:r>
    </w:p>
    <w:p w14:paraId="409A61D3" w14:textId="77777777" w:rsidR="00C65CE9" w:rsidRDefault="00C65CE9" w:rsidP="00C65CE9">
      <w:pPr>
        <w:ind w:right="429"/>
        <w:jc w:val="both"/>
        <w:rPr>
          <w:sz w:val="24"/>
          <w:szCs w:val="24"/>
          <w:lang w:val="mk-MK"/>
        </w:rPr>
      </w:pPr>
    </w:p>
    <w:p w14:paraId="06FBAA00" w14:textId="024AD86B" w:rsidR="00B05FC9" w:rsidRPr="001A334C" w:rsidRDefault="00B05FC9" w:rsidP="00B05FC9">
      <w:pPr>
        <w:tabs>
          <w:tab w:val="left" w:pos="426"/>
        </w:tabs>
        <w:ind w:right="429"/>
        <w:jc w:val="both"/>
        <w:rPr>
          <w:sz w:val="24"/>
          <w:szCs w:val="24"/>
          <w:lang w:val="mk-MK"/>
        </w:rPr>
      </w:pPr>
      <w:r>
        <w:rPr>
          <w:sz w:val="24"/>
          <w:szCs w:val="24"/>
          <w:lang w:val="mk-MK"/>
        </w:rPr>
        <w:t>(4)</w:t>
      </w:r>
      <w:r>
        <w:rPr>
          <w:sz w:val="24"/>
          <w:szCs w:val="24"/>
          <w:lang w:val="mk-MK"/>
        </w:rPr>
        <w:tab/>
        <w:t>се вметнува следната точка 26.170:</w:t>
      </w:r>
    </w:p>
    <w:p w14:paraId="29C77447" w14:textId="31EA6411" w:rsidR="007B2150" w:rsidRDefault="007B2150" w:rsidP="004F6695">
      <w:pPr>
        <w:ind w:right="429"/>
        <w:jc w:val="both"/>
        <w:rPr>
          <w:sz w:val="24"/>
          <w:szCs w:val="24"/>
          <w:lang w:val="mk-MK"/>
        </w:rPr>
      </w:pPr>
    </w:p>
    <w:p w14:paraId="092E2155" w14:textId="6A1312B1" w:rsidR="005042BE" w:rsidRPr="001672C0" w:rsidRDefault="005042BE" w:rsidP="005042BE">
      <w:pPr>
        <w:tabs>
          <w:tab w:val="left" w:pos="1276"/>
        </w:tabs>
        <w:ind w:left="426" w:right="429"/>
        <w:jc w:val="both"/>
        <w:rPr>
          <w:b/>
          <w:bCs/>
          <w:sz w:val="24"/>
          <w:szCs w:val="24"/>
          <w:lang w:val="mk-MK"/>
        </w:rPr>
      </w:pPr>
      <w:r w:rsidRPr="001672C0">
        <w:rPr>
          <w:b/>
          <w:bCs/>
          <w:sz w:val="24"/>
          <w:szCs w:val="24"/>
          <w:lang w:val="en-US"/>
        </w:rPr>
        <w:t>'</w:t>
      </w:r>
      <w:r w:rsidRPr="001672C0">
        <w:rPr>
          <w:b/>
          <w:bCs/>
          <w:sz w:val="24"/>
          <w:szCs w:val="24"/>
          <w:lang w:val="mk-MK"/>
        </w:rPr>
        <w:t>26.</w:t>
      </w:r>
      <w:r>
        <w:rPr>
          <w:b/>
          <w:bCs/>
          <w:sz w:val="24"/>
          <w:szCs w:val="24"/>
          <w:lang w:val="mk-MK"/>
        </w:rPr>
        <w:t>1</w:t>
      </w:r>
      <w:r w:rsidR="006A5A8F">
        <w:rPr>
          <w:b/>
          <w:bCs/>
          <w:sz w:val="24"/>
          <w:szCs w:val="24"/>
          <w:lang w:val="mk-MK"/>
        </w:rPr>
        <w:t>70</w:t>
      </w:r>
      <w:r w:rsidRPr="001672C0">
        <w:rPr>
          <w:b/>
          <w:bCs/>
          <w:sz w:val="24"/>
          <w:szCs w:val="24"/>
          <w:lang w:val="mk-MK"/>
        </w:rPr>
        <w:tab/>
      </w:r>
      <w:r w:rsidR="006A5A8F">
        <w:rPr>
          <w:b/>
          <w:bCs/>
          <w:sz w:val="24"/>
          <w:szCs w:val="24"/>
          <w:lang w:val="mk-MK"/>
        </w:rPr>
        <w:t>Апарати за гасење пожар</w:t>
      </w:r>
    </w:p>
    <w:p w14:paraId="49C175E5" w14:textId="05EFD855" w:rsidR="005042BE" w:rsidRDefault="005042BE" w:rsidP="005042BE">
      <w:pPr>
        <w:ind w:right="429"/>
        <w:rPr>
          <w:sz w:val="24"/>
          <w:szCs w:val="24"/>
          <w:lang w:val="mk-MK"/>
        </w:rPr>
      </w:pPr>
    </w:p>
    <w:p w14:paraId="5D4AD9E4" w14:textId="4D253D1F" w:rsidR="004B6A08" w:rsidRDefault="004B6A08" w:rsidP="001E1982">
      <w:pPr>
        <w:ind w:left="426" w:right="429"/>
        <w:jc w:val="both"/>
        <w:rPr>
          <w:sz w:val="24"/>
          <w:szCs w:val="24"/>
          <w:lang w:val="mk-MK"/>
        </w:rPr>
      </w:pPr>
      <w:r>
        <w:rPr>
          <w:sz w:val="24"/>
          <w:szCs w:val="24"/>
          <w:lang w:val="mk-MK"/>
        </w:rPr>
        <w:t>Операторите на големи авиони обезбедуваат дека во следните апарати не користат халон како средство за гасење пожар:</w:t>
      </w:r>
    </w:p>
    <w:p w14:paraId="62FF566C" w14:textId="77777777" w:rsidR="004B6A08" w:rsidRPr="004F6695" w:rsidRDefault="004B6A08" w:rsidP="001E1982">
      <w:pPr>
        <w:ind w:right="429"/>
        <w:jc w:val="both"/>
        <w:rPr>
          <w:sz w:val="24"/>
          <w:szCs w:val="24"/>
          <w:lang w:val="mk-MK"/>
        </w:rPr>
      </w:pPr>
    </w:p>
    <w:p w14:paraId="62A87CFC" w14:textId="7530CD64" w:rsidR="00421861" w:rsidRDefault="006A5A8F" w:rsidP="001E1982">
      <w:pPr>
        <w:tabs>
          <w:tab w:val="left" w:pos="993"/>
        </w:tabs>
        <w:ind w:left="993" w:right="429" w:hanging="426"/>
        <w:jc w:val="both"/>
        <w:rPr>
          <w:sz w:val="24"/>
          <w:szCs w:val="24"/>
          <w:lang w:val="mk-MK"/>
        </w:rPr>
      </w:pPr>
      <w:r>
        <w:rPr>
          <w:sz w:val="24"/>
          <w:szCs w:val="24"/>
          <w:lang w:val="mk-MK"/>
        </w:rPr>
        <w:t>(а)</w:t>
      </w:r>
      <w:r>
        <w:rPr>
          <w:sz w:val="24"/>
          <w:szCs w:val="24"/>
          <w:lang w:val="mk-MK"/>
        </w:rPr>
        <w:tab/>
      </w:r>
      <w:r w:rsidR="005868D7">
        <w:rPr>
          <w:sz w:val="24"/>
          <w:szCs w:val="24"/>
          <w:lang w:val="mk-MK"/>
        </w:rPr>
        <w:t xml:space="preserve">во вградените апарати за гасење пожар во секој санитарен јазол, кај местото за </w:t>
      </w:r>
      <w:r w:rsidR="0007785E">
        <w:rPr>
          <w:sz w:val="24"/>
          <w:szCs w:val="24"/>
          <w:lang w:val="mk-MK"/>
        </w:rPr>
        <w:t>кантите</w:t>
      </w:r>
      <w:r w:rsidR="00816E60">
        <w:rPr>
          <w:sz w:val="24"/>
          <w:szCs w:val="24"/>
          <w:lang w:val="mk-MK"/>
        </w:rPr>
        <w:t xml:space="preserve"> за отпад, каде се фрлаат </w:t>
      </w:r>
      <w:r w:rsidR="00421861">
        <w:rPr>
          <w:sz w:val="24"/>
          <w:szCs w:val="24"/>
          <w:lang w:val="mk-MK"/>
        </w:rPr>
        <w:t>хартии за бришење, хартија или отпад во големи авиони, за кои поединечното уверение за пловидбеност за прв пат е издадено на или после 18 февруари 2020 година;</w:t>
      </w:r>
    </w:p>
    <w:p w14:paraId="61B85D8F" w14:textId="77777777" w:rsidR="00421861" w:rsidRDefault="00421861" w:rsidP="001E1982">
      <w:pPr>
        <w:tabs>
          <w:tab w:val="left" w:pos="993"/>
        </w:tabs>
        <w:ind w:right="429"/>
        <w:jc w:val="both"/>
        <w:rPr>
          <w:sz w:val="24"/>
          <w:szCs w:val="24"/>
          <w:lang w:val="mk-MK"/>
        </w:rPr>
      </w:pPr>
    </w:p>
    <w:p w14:paraId="3A70DFD3" w14:textId="4ABCC6E1" w:rsidR="00466DEC" w:rsidRDefault="00466DEC" w:rsidP="001E1982">
      <w:pPr>
        <w:tabs>
          <w:tab w:val="left" w:pos="993"/>
        </w:tabs>
        <w:ind w:left="993" w:right="429" w:hanging="426"/>
        <w:jc w:val="both"/>
        <w:rPr>
          <w:sz w:val="24"/>
          <w:szCs w:val="24"/>
          <w:lang w:val="mk-MK"/>
        </w:rPr>
      </w:pPr>
      <w:r>
        <w:rPr>
          <w:sz w:val="24"/>
          <w:szCs w:val="24"/>
          <w:lang w:val="mk-MK"/>
        </w:rPr>
        <w:t>(б)</w:t>
      </w:r>
      <w:r>
        <w:rPr>
          <w:sz w:val="24"/>
          <w:szCs w:val="24"/>
          <w:lang w:val="mk-MK"/>
        </w:rPr>
        <w:tab/>
      </w:r>
      <w:r w:rsidR="003648DC">
        <w:rPr>
          <w:sz w:val="24"/>
          <w:szCs w:val="24"/>
          <w:lang w:val="mk-MK"/>
        </w:rPr>
        <w:t xml:space="preserve">преносливи/подвижни апарати за гасење пожар во големи авиони, </w:t>
      </w:r>
      <w:r>
        <w:rPr>
          <w:sz w:val="24"/>
          <w:szCs w:val="24"/>
          <w:lang w:val="mk-MK"/>
        </w:rPr>
        <w:t xml:space="preserve">за кои поединечното уверение за пловидбеност за прв пат е издадено на или после 18 </w:t>
      </w:r>
      <w:r w:rsidR="003648DC">
        <w:rPr>
          <w:sz w:val="24"/>
          <w:szCs w:val="24"/>
          <w:lang w:val="mk-MK"/>
        </w:rPr>
        <w:t>мај 2019.</w:t>
      </w:r>
      <w:r w:rsidR="003648DC">
        <w:rPr>
          <w:sz w:val="24"/>
          <w:szCs w:val="24"/>
          <w:lang w:val="en-US"/>
        </w:rPr>
        <w:t>'</w:t>
      </w:r>
      <w:r>
        <w:rPr>
          <w:sz w:val="24"/>
          <w:szCs w:val="24"/>
          <w:lang w:val="mk-MK"/>
        </w:rPr>
        <w:t>;</w:t>
      </w:r>
    </w:p>
    <w:p w14:paraId="174774D3" w14:textId="77777777" w:rsidR="00466DEC" w:rsidRDefault="00466DEC" w:rsidP="001E1982">
      <w:pPr>
        <w:tabs>
          <w:tab w:val="left" w:pos="993"/>
        </w:tabs>
        <w:ind w:right="429"/>
        <w:jc w:val="both"/>
        <w:rPr>
          <w:sz w:val="24"/>
          <w:szCs w:val="24"/>
          <w:lang w:val="mk-MK"/>
        </w:rPr>
      </w:pPr>
    </w:p>
    <w:p w14:paraId="2124F0AB" w14:textId="56AF4E5C" w:rsidR="00A25971" w:rsidRPr="001A334C" w:rsidRDefault="00A25971" w:rsidP="00A25971">
      <w:pPr>
        <w:tabs>
          <w:tab w:val="left" w:pos="426"/>
        </w:tabs>
        <w:ind w:right="429"/>
        <w:jc w:val="both"/>
        <w:rPr>
          <w:sz w:val="24"/>
          <w:szCs w:val="24"/>
          <w:lang w:val="mk-MK"/>
        </w:rPr>
      </w:pPr>
      <w:r>
        <w:rPr>
          <w:sz w:val="24"/>
          <w:szCs w:val="24"/>
          <w:lang w:val="mk-MK"/>
        </w:rPr>
        <w:t>(</w:t>
      </w:r>
      <w:r w:rsidR="001E1982">
        <w:rPr>
          <w:sz w:val="24"/>
          <w:szCs w:val="24"/>
          <w:lang w:val="mk-MK"/>
        </w:rPr>
        <w:t>5</w:t>
      </w:r>
      <w:r>
        <w:rPr>
          <w:sz w:val="24"/>
          <w:szCs w:val="24"/>
          <w:lang w:val="mk-MK"/>
        </w:rPr>
        <w:t>)</w:t>
      </w:r>
      <w:r>
        <w:rPr>
          <w:sz w:val="24"/>
          <w:szCs w:val="24"/>
          <w:lang w:val="mk-MK"/>
        </w:rPr>
        <w:tab/>
        <w:t>се додава следниот Поддел В:</w:t>
      </w:r>
    </w:p>
    <w:p w14:paraId="4BB1AC15" w14:textId="38DE222F" w:rsidR="00421861" w:rsidRDefault="00421861" w:rsidP="00466DEC">
      <w:pPr>
        <w:tabs>
          <w:tab w:val="left" w:pos="993"/>
        </w:tabs>
        <w:ind w:right="429"/>
        <w:jc w:val="both"/>
        <w:rPr>
          <w:sz w:val="24"/>
          <w:szCs w:val="24"/>
          <w:lang w:val="mk-MK"/>
        </w:rPr>
      </w:pPr>
    </w:p>
    <w:p w14:paraId="349D7997" w14:textId="184E5852" w:rsidR="003B5DB8" w:rsidRPr="003B5DB8" w:rsidRDefault="003B5DB8" w:rsidP="003B5DB8">
      <w:pPr>
        <w:ind w:left="426" w:right="429"/>
        <w:jc w:val="both"/>
        <w:rPr>
          <w:b/>
          <w:bCs/>
          <w:sz w:val="24"/>
          <w:szCs w:val="24"/>
          <w:lang w:val="mk-MK"/>
        </w:rPr>
      </w:pPr>
      <w:r w:rsidRPr="003B5DB8">
        <w:rPr>
          <w:b/>
          <w:bCs/>
          <w:sz w:val="24"/>
          <w:szCs w:val="24"/>
          <w:lang w:val="en-US"/>
        </w:rPr>
        <w:t>'</w:t>
      </w:r>
      <w:r w:rsidRPr="003B5DB8">
        <w:rPr>
          <w:b/>
          <w:bCs/>
          <w:sz w:val="24"/>
          <w:szCs w:val="24"/>
          <w:lang w:val="mk-MK"/>
        </w:rPr>
        <w:t>ПОДДЕЛ В – ГОЛЕМИ ХЕЛИКОПТЕРИ</w:t>
      </w:r>
    </w:p>
    <w:p w14:paraId="3CD22A89" w14:textId="65B68BDB" w:rsidR="00B26E60" w:rsidRDefault="00B26E60" w:rsidP="00466DEC">
      <w:pPr>
        <w:tabs>
          <w:tab w:val="left" w:pos="993"/>
        </w:tabs>
        <w:ind w:right="429"/>
        <w:jc w:val="both"/>
        <w:rPr>
          <w:sz w:val="24"/>
          <w:szCs w:val="24"/>
          <w:lang w:val="mk-MK"/>
        </w:rPr>
      </w:pPr>
    </w:p>
    <w:p w14:paraId="19832ABC" w14:textId="6BD13F39" w:rsidR="001E1982" w:rsidRPr="001672C0" w:rsidRDefault="001E1982" w:rsidP="001E1982">
      <w:pPr>
        <w:tabs>
          <w:tab w:val="left" w:pos="1276"/>
        </w:tabs>
        <w:ind w:left="426" w:right="429"/>
        <w:jc w:val="both"/>
        <w:rPr>
          <w:b/>
          <w:bCs/>
          <w:sz w:val="24"/>
          <w:szCs w:val="24"/>
          <w:lang w:val="mk-MK"/>
        </w:rPr>
      </w:pPr>
      <w:r w:rsidRPr="001672C0">
        <w:rPr>
          <w:b/>
          <w:bCs/>
          <w:sz w:val="24"/>
          <w:szCs w:val="24"/>
          <w:lang w:val="en-US"/>
        </w:rPr>
        <w:t>'</w:t>
      </w:r>
      <w:r w:rsidRPr="001672C0">
        <w:rPr>
          <w:b/>
          <w:bCs/>
          <w:sz w:val="24"/>
          <w:szCs w:val="24"/>
          <w:lang w:val="mk-MK"/>
        </w:rPr>
        <w:t>26.</w:t>
      </w:r>
      <w:r>
        <w:rPr>
          <w:b/>
          <w:bCs/>
          <w:sz w:val="24"/>
          <w:szCs w:val="24"/>
          <w:lang w:val="mk-MK"/>
        </w:rPr>
        <w:t>400</w:t>
      </w:r>
      <w:r w:rsidRPr="001672C0">
        <w:rPr>
          <w:b/>
          <w:bCs/>
          <w:sz w:val="24"/>
          <w:szCs w:val="24"/>
          <w:lang w:val="mk-MK"/>
        </w:rPr>
        <w:tab/>
      </w:r>
      <w:r>
        <w:rPr>
          <w:b/>
          <w:bCs/>
          <w:sz w:val="24"/>
          <w:szCs w:val="24"/>
          <w:lang w:val="mk-MK"/>
        </w:rPr>
        <w:t>Апарати за гасење пожар</w:t>
      </w:r>
    </w:p>
    <w:p w14:paraId="580B291D" w14:textId="77777777" w:rsidR="001E1982" w:rsidRDefault="001E1982" w:rsidP="001E1982">
      <w:pPr>
        <w:ind w:right="429"/>
        <w:jc w:val="both"/>
        <w:rPr>
          <w:sz w:val="24"/>
          <w:szCs w:val="24"/>
          <w:lang w:val="mk-MK"/>
        </w:rPr>
      </w:pPr>
    </w:p>
    <w:p w14:paraId="3F352DEE" w14:textId="2B65AA81" w:rsidR="001E1982" w:rsidRDefault="001E1982" w:rsidP="001E1982">
      <w:pPr>
        <w:ind w:left="426" w:right="429"/>
        <w:jc w:val="both"/>
        <w:rPr>
          <w:sz w:val="24"/>
          <w:szCs w:val="24"/>
          <w:lang w:val="mk-MK"/>
        </w:rPr>
      </w:pPr>
      <w:r>
        <w:rPr>
          <w:sz w:val="24"/>
          <w:szCs w:val="24"/>
          <w:lang w:val="mk-MK"/>
        </w:rPr>
        <w:t>Операторите на големи хеликоптери обезбедуваат дека во следните апарати не користат халон како средство за гасење пожар:</w:t>
      </w:r>
    </w:p>
    <w:p w14:paraId="762FC89E" w14:textId="77777777" w:rsidR="001E1982" w:rsidRPr="004F6695" w:rsidRDefault="001E1982" w:rsidP="001E1982">
      <w:pPr>
        <w:ind w:right="429"/>
        <w:jc w:val="both"/>
        <w:rPr>
          <w:sz w:val="24"/>
          <w:szCs w:val="24"/>
          <w:lang w:val="mk-MK"/>
        </w:rPr>
      </w:pPr>
    </w:p>
    <w:p w14:paraId="22304857" w14:textId="63EE7B70" w:rsidR="001E1982" w:rsidRDefault="001E1982" w:rsidP="001E1982">
      <w:pPr>
        <w:tabs>
          <w:tab w:val="left" w:pos="993"/>
        </w:tabs>
        <w:ind w:left="993" w:right="429" w:hanging="426"/>
        <w:jc w:val="both"/>
        <w:rPr>
          <w:sz w:val="24"/>
          <w:szCs w:val="24"/>
          <w:lang w:val="mk-MK"/>
        </w:rPr>
      </w:pPr>
      <w:r>
        <w:rPr>
          <w:sz w:val="24"/>
          <w:szCs w:val="24"/>
          <w:lang w:val="mk-MK"/>
        </w:rPr>
        <w:t>(а)</w:t>
      </w:r>
      <w:r>
        <w:rPr>
          <w:sz w:val="24"/>
          <w:szCs w:val="24"/>
          <w:lang w:val="mk-MK"/>
        </w:rPr>
        <w:tab/>
        <w:t>во вградените апарати за гасење пожар во секој санитарен јазол, кај местото за кантите за отпад, каде се фрлаат хартии за бришење, хартија или отпад во големи хеликоптери, за кои поединечното уверение за пловидбеност за прв пат е издадено на или после 18 февруари 2020 година;</w:t>
      </w:r>
    </w:p>
    <w:p w14:paraId="3153FDA9" w14:textId="77777777" w:rsidR="001E1982" w:rsidRDefault="001E1982" w:rsidP="001E1982">
      <w:pPr>
        <w:tabs>
          <w:tab w:val="left" w:pos="993"/>
        </w:tabs>
        <w:ind w:right="429"/>
        <w:jc w:val="both"/>
        <w:rPr>
          <w:sz w:val="24"/>
          <w:szCs w:val="24"/>
          <w:lang w:val="mk-MK"/>
        </w:rPr>
      </w:pPr>
    </w:p>
    <w:p w14:paraId="7E36FDE1" w14:textId="2E28E5B7" w:rsidR="001E1982" w:rsidRDefault="001E1982" w:rsidP="001E1982">
      <w:pPr>
        <w:tabs>
          <w:tab w:val="left" w:pos="993"/>
        </w:tabs>
        <w:ind w:left="993" w:right="429" w:hanging="426"/>
        <w:jc w:val="both"/>
        <w:rPr>
          <w:sz w:val="24"/>
          <w:szCs w:val="24"/>
          <w:lang w:val="mk-MK"/>
        </w:rPr>
      </w:pPr>
      <w:r>
        <w:rPr>
          <w:sz w:val="24"/>
          <w:szCs w:val="24"/>
          <w:lang w:val="mk-MK"/>
        </w:rPr>
        <w:t>(б)</w:t>
      </w:r>
      <w:r>
        <w:rPr>
          <w:sz w:val="24"/>
          <w:szCs w:val="24"/>
          <w:lang w:val="mk-MK"/>
        </w:rPr>
        <w:tab/>
        <w:t>преносливи/подвижни апарати за гасење пожар во големи хеликоптери, за кои поединечното уверение за пловидбеност за прв пат е издадено на или после 18 мај 2019.</w:t>
      </w:r>
      <w:r>
        <w:rPr>
          <w:sz w:val="24"/>
          <w:szCs w:val="24"/>
          <w:lang w:val="en-US"/>
        </w:rPr>
        <w:t>'</w:t>
      </w:r>
      <w:r>
        <w:rPr>
          <w:sz w:val="24"/>
          <w:szCs w:val="24"/>
          <w:lang w:val="mk-MK"/>
        </w:rPr>
        <w:t>;</w:t>
      </w:r>
    </w:p>
    <w:p w14:paraId="1EB69781" w14:textId="77777777" w:rsidR="001E1982" w:rsidRDefault="001E1982" w:rsidP="001E1982">
      <w:pPr>
        <w:tabs>
          <w:tab w:val="left" w:pos="993"/>
        </w:tabs>
        <w:ind w:right="429"/>
        <w:jc w:val="both"/>
        <w:rPr>
          <w:sz w:val="24"/>
          <w:szCs w:val="24"/>
          <w:lang w:val="mk-MK"/>
        </w:rPr>
      </w:pPr>
    </w:p>
    <w:p w14:paraId="3E4FFBC0" w14:textId="2D79892E" w:rsidR="00421861" w:rsidRDefault="00421861" w:rsidP="008D10B2">
      <w:pPr>
        <w:tabs>
          <w:tab w:val="left" w:pos="993"/>
        </w:tabs>
        <w:ind w:right="429"/>
        <w:jc w:val="both"/>
        <w:rPr>
          <w:sz w:val="24"/>
          <w:szCs w:val="24"/>
          <w:lang w:val="mk-MK"/>
        </w:rPr>
      </w:pPr>
    </w:p>
    <w:p w14:paraId="778BB101" w14:textId="77777777" w:rsidR="006877FB" w:rsidRDefault="006877FB" w:rsidP="006877FB">
      <w:pPr>
        <w:tabs>
          <w:tab w:val="left" w:pos="567"/>
        </w:tabs>
        <w:ind w:right="571"/>
        <w:jc w:val="center"/>
        <w:rPr>
          <w:sz w:val="22"/>
          <w:szCs w:val="22"/>
          <w:lang w:val="mk-MK"/>
        </w:rPr>
      </w:pPr>
      <w:r>
        <w:rPr>
          <w:sz w:val="22"/>
          <w:szCs w:val="22"/>
          <w:lang w:val="mk-MK"/>
        </w:rPr>
        <w:t>___________</w:t>
      </w:r>
    </w:p>
    <w:p w14:paraId="4512681A" w14:textId="0F32FD68" w:rsidR="006877FB" w:rsidRDefault="006877FB" w:rsidP="006877FB">
      <w:pPr>
        <w:ind w:right="429"/>
        <w:jc w:val="both"/>
        <w:rPr>
          <w:sz w:val="24"/>
          <w:szCs w:val="24"/>
        </w:rPr>
      </w:pPr>
    </w:p>
    <w:p w14:paraId="32304A29" w14:textId="0199D666" w:rsidR="006950E1" w:rsidRDefault="006950E1" w:rsidP="006877FB">
      <w:pPr>
        <w:ind w:right="429"/>
        <w:jc w:val="both"/>
        <w:rPr>
          <w:sz w:val="24"/>
          <w:szCs w:val="24"/>
        </w:rPr>
      </w:pPr>
    </w:p>
    <w:p w14:paraId="05C2AFD2" w14:textId="77777777" w:rsidR="006950E1" w:rsidRDefault="006950E1" w:rsidP="006877FB">
      <w:pPr>
        <w:ind w:right="429"/>
        <w:jc w:val="both"/>
        <w:rPr>
          <w:sz w:val="24"/>
          <w:szCs w:val="24"/>
        </w:rPr>
      </w:pPr>
    </w:p>
    <w:sectPr w:rsidR="006950E1" w:rsidSect="006877FB">
      <w:headerReference w:type="default" r:id="rId7"/>
      <w:pgSz w:w="12240" w:h="15840"/>
      <w:pgMar w:top="1135"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442C" w14:textId="77777777" w:rsidR="007D6469" w:rsidRDefault="007D6469" w:rsidP="006877FB">
      <w:r>
        <w:separator/>
      </w:r>
    </w:p>
  </w:endnote>
  <w:endnote w:type="continuationSeparator" w:id="0">
    <w:p w14:paraId="02B81203" w14:textId="77777777" w:rsidR="007D6469" w:rsidRDefault="007D6469" w:rsidP="0068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A20A" w14:textId="77777777" w:rsidR="007D6469" w:rsidRDefault="007D6469" w:rsidP="006877FB">
      <w:r>
        <w:separator/>
      </w:r>
    </w:p>
  </w:footnote>
  <w:footnote w:type="continuationSeparator" w:id="0">
    <w:p w14:paraId="6C0710ED" w14:textId="77777777" w:rsidR="007D6469" w:rsidRDefault="007D6469" w:rsidP="006877FB">
      <w:r>
        <w:continuationSeparator/>
      </w:r>
    </w:p>
  </w:footnote>
  <w:footnote w:id="1">
    <w:p w14:paraId="56C2CD31" w14:textId="33A7B2B2" w:rsidR="006877FB" w:rsidRPr="00A4317F" w:rsidRDefault="006877FB" w:rsidP="006877FB">
      <w:pPr>
        <w:pStyle w:val="FootnoteText"/>
        <w:tabs>
          <w:tab w:val="left" w:pos="284"/>
        </w:tabs>
        <w:rPr>
          <w:lang w:val="mk-MK"/>
        </w:rPr>
      </w:pPr>
      <w:r>
        <w:rPr>
          <w:lang w:val="mk-MK"/>
        </w:rPr>
        <w:t>(</w:t>
      </w:r>
      <w:r>
        <w:rPr>
          <w:rStyle w:val="FootnoteReference"/>
        </w:rPr>
        <w:footnoteRef/>
      </w:r>
      <w:r>
        <w:rPr>
          <w:lang w:val="mk-MK"/>
        </w:rPr>
        <w:t>)</w:t>
      </w:r>
      <w:r>
        <w:rPr>
          <w:lang w:val="mk-MK"/>
        </w:rPr>
        <w:tab/>
      </w:r>
      <w:r w:rsidRPr="00C04C0B">
        <w:rPr>
          <w:lang w:val="mk-MK"/>
        </w:rPr>
        <w:t>Сл.</w:t>
      </w:r>
      <w:r>
        <w:rPr>
          <w:lang w:val="mk-MK"/>
        </w:rPr>
        <w:t xml:space="preserve"> весник</w:t>
      </w:r>
      <w:r w:rsidRPr="00C04C0B">
        <w:rPr>
          <w:lang w:val="mk-MK"/>
        </w:rPr>
        <w:t xml:space="preserve">. </w:t>
      </w:r>
      <w:r>
        <w:rPr>
          <w:lang w:val="en-US"/>
        </w:rPr>
        <w:t>L</w:t>
      </w:r>
      <w:r>
        <w:rPr>
          <w:lang w:val="mk-MK"/>
        </w:rPr>
        <w:t xml:space="preserve"> </w:t>
      </w:r>
      <w:r w:rsidR="00A60801">
        <w:rPr>
          <w:lang w:val="mk-MK"/>
        </w:rPr>
        <w:t>212</w:t>
      </w:r>
      <w:r>
        <w:rPr>
          <w:lang w:val="mk-MK"/>
        </w:rPr>
        <w:t xml:space="preserve">, </w:t>
      </w:r>
      <w:r w:rsidR="00A60801">
        <w:rPr>
          <w:lang w:val="mk-MK"/>
        </w:rPr>
        <w:t xml:space="preserve">22.8.2018 година, </w:t>
      </w:r>
      <w:r w:rsidRPr="00C04C0B">
        <w:rPr>
          <w:lang w:val="mk-MK"/>
        </w:rPr>
        <w:t>стр.</w:t>
      </w:r>
      <w:r>
        <w:t xml:space="preserve"> </w:t>
      </w:r>
      <w:r>
        <w:rPr>
          <w:lang w:val="mk-MK"/>
        </w:rPr>
        <w:t>1</w:t>
      </w:r>
      <w:r>
        <w:t>.</w:t>
      </w:r>
    </w:p>
  </w:footnote>
  <w:footnote w:id="2">
    <w:p w14:paraId="0A46AA58" w14:textId="57F7E4CC" w:rsidR="006877FB" w:rsidRPr="00270212" w:rsidRDefault="006877FB" w:rsidP="006877FB">
      <w:pPr>
        <w:pStyle w:val="FootnoteText"/>
        <w:tabs>
          <w:tab w:val="left" w:pos="284"/>
        </w:tabs>
        <w:ind w:left="284" w:right="429" w:hanging="284"/>
        <w:jc w:val="both"/>
        <w:rPr>
          <w:lang w:val="en-US"/>
        </w:rPr>
      </w:pPr>
      <w:r>
        <w:rPr>
          <w:lang w:val="mk-MK"/>
        </w:rPr>
        <w:t>(</w:t>
      </w:r>
      <w:r>
        <w:rPr>
          <w:rStyle w:val="FootnoteReference"/>
        </w:rPr>
        <w:footnoteRef/>
      </w:r>
      <w:r>
        <w:rPr>
          <w:lang w:val="mk-MK"/>
        </w:rPr>
        <w:t>)</w:t>
      </w:r>
      <w:r>
        <w:rPr>
          <w:lang w:val="mk-MK"/>
        </w:rPr>
        <w:tab/>
        <w:t xml:space="preserve">Регулатива (ЕУ) бр. </w:t>
      </w:r>
      <w:r w:rsidR="00A60801">
        <w:rPr>
          <w:lang w:val="mk-MK"/>
        </w:rPr>
        <w:t xml:space="preserve">2015/640 </w:t>
      </w:r>
      <w:r>
        <w:rPr>
          <w:lang w:val="mk-MK"/>
        </w:rPr>
        <w:t>на Комисијата, од 2</w:t>
      </w:r>
      <w:r w:rsidR="00A60801">
        <w:rPr>
          <w:lang w:val="mk-MK"/>
        </w:rPr>
        <w:t>3</w:t>
      </w:r>
      <w:r>
        <w:rPr>
          <w:lang w:val="mk-MK"/>
        </w:rPr>
        <w:t xml:space="preserve"> април 201</w:t>
      </w:r>
      <w:r w:rsidR="00A60801">
        <w:rPr>
          <w:lang w:val="mk-MK"/>
        </w:rPr>
        <w:t>5</w:t>
      </w:r>
      <w:r>
        <w:rPr>
          <w:lang w:val="mk-MK"/>
        </w:rPr>
        <w:t xml:space="preserve"> година, за </w:t>
      </w:r>
      <w:r w:rsidR="001A45F7">
        <w:rPr>
          <w:lang w:val="mk-MK"/>
        </w:rPr>
        <w:t xml:space="preserve">дополнителни спецификации за пловидбеност </w:t>
      </w:r>
      <w:r w:rsidR="00AF7986">
        <w:rPr>
          <w:lang w:val="mk-MK"/>
        </w:rPr>
        <w:t xml:space="preserve">за даден </w:t>
      </w:r>
      <w:r w:rsidR="00AF2421">
        <w:rPr>
          <w:lang w:val="mk-MK"/>
        </w:rPr>
        <w:t xml:space="preserve">вид на операции и за изменување и дополнување на </w:t>
      </w:r>
      <w:r>
        <w:rPr>
          <w:lang w:val="mk-MK"/>
        </w:rPr>
        <w:t>Регулатива (Е</w:t>
      </w:r>
      <w:r w:rsidR="00AF2421">
        <w:rPr>
          <w:lang w:val="mk-MK"/>
        </w:rPr>
        <w:t>У</w:t>
      </w:r>
      <w:r>
        <w:rPr>
          <w:lang w:val="mk-MK"/>
        </w:rPr>
        <w:t xml:space="preserve">) бр. </w:t>
      </w:r>
      <w:r w:rsidR="00AF2421">
        <w:rPr>
          <w:lang w:val="mk-MK"/>
        </w:rPr>
        <w:t xml:space="preserve">965/2012 </w:t>
      </w:r>
      <w:r>
        <w:rPr>
          <w:lang w:val="mk-MK"/>
        </w:rPr>
        <w:t>(</w:t>
      </w:r>
      <w:r w:rsidRPr="00C04C0B">
        <w:rPr>
          <w:lang w:val="mk-MK"/>
        </w:rPr>
        <w:t xml:space="preserve">Сл. </w:t>
      </w:r>
      <w:r>
        <w:rPr>
          <w:lang w:val="mk-MK"/>
        </w:rPr>
        <w:t>весник</w:t>
      </w:r>
      <w:r w:rsidRPr="00C04C0B">
        <w:rPr>
          <w:lang w:val="mk-MK"/>
        </w:rPr>
        <w:t xml:space="preserve">. L </w:t>
      </w:r>
      <w:r>
        <w:rPr>
          <w:lang w:val="mk-MK"/>
        </w:rPr>
        <w:t>1</w:t>
      </w:r>
      <w:r w:rsidR="00AF2421">
        <w:rPr>
          <w:lang w:val="mk-MK"/>
        </w:rPr>
        <w:t>06, 24.4.2015 година</w:t>
      </w:r>
      <w:r>
        <w:rPr>
          <w:lang w:val="mk-MK"/>
        </w:rPr>
        <w:t xml:space="preserve">, </w:t>
      </w:r>
      <w:r w:rsidRPr="00C04C0B">
        <w:rPr>
          <w:lang w:val="mk-MK"/>
        </w:rPr>
        <w:t>стр.</w:t>
      </w:r>
      <w:r>
        <w:t xml:space="preserve"> </w:t>
      </w:r>
      <w:r>
        <w:rPr>
          <w:lang w:val="mk-MK"/>
        </w:rPr>
        <w:t>1</w:t>
      </w:r>
      <w:r w:rsidR="00AF2421">
        <w:rPr>
          <w:lang w:val="mk-MK"/>
        </w:rPr>
        <w:t>8</w:t>
      </w:r>
      <w:r>
        <w:rPr>
          <w:lang w:val="mk-MK"/>
        </w:rPr>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F413" w14:textId="77777777" w:rsidR="00EF6CB0" w:rsidRPr="00EF6CB0" w:rsidRDefault="00AF2583" w:rsidP="00742874">
    <w:pPr>
      <w:rPr>
        <w:lang w:val="en-US"/>
      </w:rPr>
    </w:pPr>
    <w:r w:rsidRPr="00742874">
      <w:rPr>
        <w:noProof/>
        <w:lang w:val="mk-MK" w:eastAsia="mk-MK"/>
      </w:rPr>
      <mc:AlternateContent>
        <mc:Choice Requires="wps">
          <w:drawing>
            <wp:anchor distT="0" distB="0" distL="114300" distR="114300" simplePos="0" relativeHeight="251659264" behindDoc="0" locked="0" layoutInCell="1" allowOverlap="1" wp14:anchorId="5EAA3D1C" wp14:editId="4B197C54">
              <wp:simplePos x="0" y="0"/>
              <wp:positionH relativeFrom="column">
                <wp:posOffset>14629</wp:posOffset>
              </wp:positionH>
              <wp:positionV relativeFrom="paragraph">
                <wp:posOffset>3937</wp:posOffset>
              </wp:positionV>
              <wp:extent cx="612282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22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C134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3pt" to="48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FB"/>
    <w:rsid w:val="00004B4A"/>
    <w:rsid w:val="00010022"/>
    <w:rsid w:val="00011DF3"/>
    <w:rsid w:val="0007785E"/>
    <w:rsid w:val="00081044"/>
    <w:rsid w:val="00087B14"/>
    <w:rsid w:val="000B033E"/>
    <w:rsid w:val="000B2D1E"/>
    <w:rsid w:val="000D05D2"/>
    <w:rsid w:val="000E5C28"/>
    <w:rsid w:val="001104A9"/>
    <w:rsid w:val="00111AB7"/>
    <w:rsid w:val="001232A4"/>
    <w:rsid w:val="0013135C"/>
    <w:rsid w:val="00134686"/>
    <w:rsid w:val="001410FF"/>
    <w:rsid w:val="001672C0"/>
    <w:rsid w:val="00176E22"/>
    <w:rsid w:val="00181486"/>
    <w:rsid w:val="00183AC8"/>
    <w:rsid w:val="00191D77"/>
    <w:rsid w:val="001A45F7"/>
    <w:rsid w:val="001A4AF0"/>
    <w:rsid w:val="001B2862"/>
    <w:rsid w:val="001B7C11"/>
    <w:rsid w:val="001C139B"/>
    <w:rsid w:val="001D6AE1"/>
    <w:rsid w:val="001E0D78"/>
    <w:rsid w:val="001E1982"/>
    <w:rsid w:val="001E3794"/>
    <w:rsid w:val="001E574E"/>
    <w:rsid w:val="002029F3"/>
    <w:rsid w:val="002426AE"/>
    <w:rsid w:val="00245421"/>
    <w:rsid w:val="00250A64"/>
    <w:rsid w:val="00257A9A"/>
    <w:rsid w:val="00273F23"/>
    <w:rsid w:val="00282FC6"/>
    <w:rsid w:val="002A7045"/>
    <w:rsid w:val="002B7201"/>
    <w:rsid w:val="002D5BF4"/>
    <w:rsid w:val="002E07A3"/>
    <w:rsid w:val="00306A92"/>
    <w:rsid w:val="003074D4"/>
    <w:rsid w:val="003324C8"/>
    <w:rsid w:val="003343FC"/>
    <w:rsid w:val="003557BA"/>
    <w:rsid w:val="00363530"/>
    <w:rsid w:val="003648DC"/>
    <w:rsid w:val="00372C18"/>
    <w:rsid w:val="00386DC0"/>
    <w:rsid w:val="00392C47"/>
    <w:rsid w:val="003A6F06"/>
    <w:rsid w:val="003B5DB8"/>
    <w:rsid w:val="004160E6"/>
    <w:rsid w:val="00421861"/>
    <w:rsid w:val="00423E61"/>
    <w:rsid w:val="004344EC"/>
    <w:rsid w:val="00435C08"/>
    <w:rsid w:val="00456ABA"/>
    <w:rsid w:val="00465E33"/>
    <w:rsid w:val="00466DEC"/>
    <w:rsid w:val="0047661B"/>
    <w:rsid w:val="00492D56"/>
    <w:rsid w:val="004A0A24"/>
    <w:rsid w:val="004B6A08"/>
    <w:rsid w:val="004B6EF4"/>
    <w:rsid w:val="004C1A07"/>
    <w:rsid w:val="004C4A56"/>
    <w:rsid w:val="004C6794"/>
    <w:rsid w:val="004D1736"/>
    <w:rsid w:val="004F6695"/>
    <w:rsid w:val="005042BE"/>
    <w:rsid w:val="00523C90"/>
    <w:rsid w:val="005502CA"/>
    <w:rsid w:val="00556CF1"/>
    <w:rsid w:val="00586210"/>
    <w:rsid w:val="005868D7"/>
    <w:rsid w:val="00593EEE"/>
    <w:rsid w:val="00594274"/>
    <w:rsid w:val="005A1E62"/>
    <w:rsid w:val="005C64A4"/>
    <w:rsid w:val="005E0524"/>
    <w:rsid w:val="00610562"/>
    <w:rsid w:val="00625ACC"/>
    <w:rsid w:val="00626D1A"/>
    <w:rsid w:val="00633D34"/>
    <w:rsid w:val="00635EDB"/>
    <w:rsid w:val="0064750A"/>
    <w:rsid w:val="00653DE0"/>
    <w:rsid w:val="006556E5"/>
    <w:rsid w:val="006601B3"/>
    <w:rsid w:val="0066430B"/>
    <w:rsid w:val="006679E8"/>
    <w:rsid w:val="00670B8D"/>
    <w:rsid w:val="0068055A"/>
    <w:rsid w:val="006877FB"/>
    <w:rsid w:val="00694D6B"/>
    <w:rsid w:val="006950E1"/>
    <w:rsid w:val="006A107D"/>
    <w:rsid w:val="006A5A8F"/>
    <w:rsid w:val="006B1F1E"/>
    <w:rsid w:val="006E5956"/>
    <w:rsid w:val="006E6511"/>
    <w:rsid w:val="006F547E"/>
    <w:rsid w:val="00723942"/>
    <w:rsid w:val="0076488A"/>
    <w:rsid w:val="00780DC2"/>
    <w:rsid w:val="00790608"/>
    <w:rsid w:val="007A2827"/>
    <w:rsid w:val="007A4E31"/>
    <w:rsid w:val="007B2150"/>
    <w:rsid w:val="007C0EBC"/>
    <w:rsid w:val="007C0FDB"/>
    <w:rsid w:val="007C1AF0"/>
    <w:rsid w:val="007C6CA4"/>
    <w:rsid w:val="007D6469"/>
    <w:rsid w:val="0080105C"/>
    <w:rsid w:val="00805AAB"/>
    <w:rsid w:val="00807F0D"/>
    <w:rsid w:val="00811F60"/>
    <w:rsid w:val="00815FAB"/>
    <w:rsid w:val="00816E60"/>
    <w:rsid w:val="00880A70"/>
    <w:rsid w:val="00881C73"/>
    <w:rsid w:val="00884184"/>
    <w:rsid w:val="00894293"/>
    <w:rsid w:val="008A3A4E"/>
    <w:rsid w:val="008B5DFA"/>
    <w:rsid w:val="008C07DD"/>
    <w:rsid w:val="008C276A"/>
    <w:rsid w:val="008C3359"/>
    <w:rsid w:val="008C75FD"/>
    <w:rsid w:val="008D0444"/>
    <w:rsid w:val="008D10B2"/>
    <w:rsid w:val="008F29AD"/>
    <w:rsid w:val="008F6D49"/>
    <w:rsid w:val="0090441B"/>
    <w:rsid w:val="009125C7"/>
    <w:rsid w:val="00917021"/>
    <w:rsid w:val="00936BEB"/>
    <w:rsid w:val="0095642D"/>
    <w:rsid w:val="0097508E"/>
    <w:rsid w:val="00995949"/>
    <w:rsid w:val="009B223E"/>
    <w:rsid w:val="009B2DE4"/>
    <w:rsid w:val="009B7423"/>
    <w:rsid w:val="009D3EAF"/>
    <w:rsid w:val="009E198B"/>
    <w:rsid w:val="009F4BE3"/>
    <w:rsid w:val="00A00998"/>
    <w:rsid w:val="00A25971"/>
    <w:rsid w:val="00A60801"/>
    <w:rsid w:val="00A6148D"/>
    <w:rsid w:val="00A62459"/>
    <w:rsid w:val="00A704B1"/>
    <w:rsid w:val="00A847F2"/>
    <w:rsid w:val="00A95ADA"/>
    <w:rsid w:val="00A964B7"/>
    <w:rsid w:val="00A96AFD"/>
    <w:rsid w:val="00AA445E"/>
    <w:rsid w:val="00AB721A"/>
    <w:rsid w:val="00AD3C51"/>
    <w:rsid w:val="00AF2421"/>
    <w:rsid w:val="00AF2583"/>
    <w:rsid w:val="00AF7986"/>
    <w:rsid w:val="00B05FC9"/>
    <w:rsid w:val="00B109A5"/>
    <w:rsid w:val="00B12A3C"/>
    <w:rsid w:val="00B2671C"/>
    <w:rsid w:val="00B26E60"/>
    <w:rsid w:val="00B42382"/>
    <w:rsid w:val="00B63B9A"/>
    <w:rsid w:val="00B73490"/>
    <w:rsid w:val="00B97468"/>
    <w:rsid w:val="00BD15F3"/>
    <w:rsid w:val="00BD6E41"/>
    <w:rsid w:val="00C048A0"/>
    <w:rsid w:val="00C36754"/>
    <w:rsid w:val="00C40ECD"/>
    <w:rsid w:val="00C41484"/>
    <w:rsid w:val="00C44525"/>
    <w:rsid w:val="00C47911"/>
    <w:rsid w:val="00C52644"/>
    <w:rsid w:val="00C54E45"/>
    <w:rsid w:val="00C6193D"/>
    <w:rsid w:val="00C65CE9"/>
    <w:rsid w:val="00C674DB"/>
    <w:rsid w:val="00C9345E"/>
    <w:rsid w:val="00CC10B0"/>
    <w:rsid w:val="00CC7F5F"/>
    <w:rsid w:val="00CE02C4"/>
    <w:rsid w:val="00CE3162"/>
    <w:rsid w:val="00D07284"/>
    <w:rsid w:val="00D21C20"/>
    <w:rsid w:val="00D44DAB"/>
    <w:rsid w:val="00D71707"/>
    <w:rsid w:val="00D746D7"/>
    <w:rsid w:val="00D82112"/>
    <w:rsid w:val="00DA139A"/>
    <w:rsid w:val="00DA5B7B"/>
    <w:rsid w:val="00DA62A1"/>
    <w:rsid w:val="00DA6A3F"/>
    <w:rsid w:val="00DA6FAB"/>
    <w:rsid w:val="00DA7299"/>
    <w:rsid w:val="00DB1419"/>
    <w:rsid w:val="00DF1B81"/>
    <w:rsid w:val="00E01DE5"/>
    <w:rsid w:val="00E03C31"/>
    <w:rsid w:val="00E14FF7"/>
    <w:rsid w:val="00E23823"/>
    <w:rsid w:val="00E270D1"/>
    <w:rsid w:val="00E42824"/>
    <w:rsid w:val="00E5474F"/>
    <w:rsid w:val="00E7038F"/>
    <w:rsid w:val="00EA14B8"/>
    <w:rsid w:val="00F26FB2"/>
    <w:rsid w:val="00F371AC"/>
    <w:rsid w:val="00F4234A"/>
    <w:rsid w:val="00F63705"/>
    <w:rsid w:val="00F654E7"/>
    <w:rsid w:val="00F85AFF"/>
    <w:rsid w:val="00FA0881"/>
    <w:rsid w:val="00FB3AB0"/>
    <w:rsid w:val="00FD67EB"/>
    <w:rsid w:val="00FE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AD5E4"/>
  <w15:docId w15:val="{FD92555F-0B04-4BAE-BBEF-4FD83594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FB"/>
    <w:pPr>
      <w:widowControl w:val="0"/>
      <w:autoSpaceDE w:val="0"/>
      <w:autoSpaceDN w:val="0"/>
      <w:adjustRightInd w:val="0"/>
    </w:pPr>
    <w:rPr>
      <w:rFonts w:eastAsia="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877FB"/>
  </w:style>
  <w:style w:type="character" w:customStyle="1" w:styleId="FootnoteTextChar">
    <w:name w:val="Footnote Text Char"/>
    <w:basedOn w:val="DefaultParagraphFont"/>
    <w:link w:val="FootnoteText"/>
    <w:semiHidden/>
    <w:rsid w:val="006877FB"/>
    <w:rPr>
      <w:rFonts w:eastAsia="Times New Roman"/>
      <w:sz w:val="20"/>
      <w:szCs w:val="20"/>
      <w:lang w:val="en-GB" w:eastAsia="en-GB"/>
    </w:rPr>
  </w:style>
  <w:style w:type="character" w:styleId="FootnoteReference">
    <w:name w:val="footnote reference"/>
    <w:basedOn w:val="DefaultParagraphFont"/>
    <w:semiHidden/>
    <w:unhideWhenUsed/>
    <w:rsid w:val="006877FB"/>
    <w:rPr>
      <w:vertAlign w:val="superscript"/>
    </w:rPr>
  </w:style>
  <w:style w:type="paragraph" w:styleId="Header">
    <w:name w:val="header"/>
    <w:basedOn w:val="Normal"/>
    <w:link w:val="HeaderChar"/>
    <w:uiPriority w:val="99"/>
    <w:unhideWhenUsed/>
    <w:rsid w:val="006877FB"/>
    <w:pPr>
      <w:tabs>
        <w:tab w:val="center" w:pos="4680"/>
        <w:tab w:val="right" w:pos="9360"/>
      </w:tabs>
    </w:pPr>
  </w:style>
  <w:style w:type="character" w:customStyle="1" w:styleId="HeaderChar">
    <w:name w:val="Header Char"/>
    <w:basedOn w:val="DefaultParagraphFont"/>
    <w:link w:val="Header"/>
    <w:uiPriority w:val="99"/>
    <w:rsid w:val="006877FB"/>
    <w:rPr>
      <w:rFonts w:eastAsia="Times New Roman"/>
      <w:sz w:val="20"/>
      <w:szCs w:val="20"/>
      <w:lang w:val="en-GB" w:eastAsia="en-GB"/>
    </w:rPr>
  </w:style>
  <w:style w:type="paragraph" w:styleId="NormalWeb">
    <w:name w:val="Normal (Web)"/>
    <w:basedOn w:val="Normal"/>
    <w:rsid w:val="006877FB"/>
    <w:pPr>
      <w:widowControl/>
      <w:autoSpaceDE/>
      <w:autoSpaceDN/>
      <w:adjustRightInd/>
      <w:spacing w:before="100" w:beforeAutospacing="1" w:after="100" w:afterAutospacing="1"/>
    </w:pPr>
    <w:rPr>
      <w:sz w:val="24"/>
      <w:szCs w:val="24"/>
    </w:rPr>
  </w:style>
  <w:style w:type="paragraph" w:styleId="Footer">
    <w:name w:val="footer"/>
    <w:basedOn w:val="Normal"/>
    <w:link w:val="FooterChar"/>
    <w:uiPriority w:val="99"/>
    <w:unhideWhenUsed/>
    <w:rsid w:val="006B1F1E"/>
    <w:pPr>
      <w:tabs>
        <w:tab w:val="center" w:pos="4680"/>
        <w:tab w:val="right" w:pos="9360"/>
      </w:tabs>
    </w:pPr>
  </w:style>
  <w:style w:type="character" w:customStyle="1" w:styleId="FooterChar">
    <w:name w:val="Footer Char"/>
    <w:basedOn w:val="DefaultParagraphFont"/>
    <w:link w:val="Footer"/>
    <w:uiPriority w:val="99"/>
    <w:rsid w:val="006B1F1E"/>
    <w:rPr>
      <w:rFonts w:eastAsia="Times New Roman"/>
      <w:sz w:val="20"/>
      <w:szCs w:val="20"/>
      <w:lang w:val="en-GB" w:eastAsia="en-GB"/>
    </w:rPr>
  </w:style>
  <w:style w:type="paragraph" w:styleId="BalloonText">
    <w:name w:val="Balloon Text"/>
    <w:basedOn w:val="Normal"/>
    <w:link w:val="BalloonTextChar"/>
    <w:uiPriority w:val="99"/>
    <w:semiHidden/>
    <w:unhideWhenUsed/>
    <w:rsid w:val="00633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D34"/>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5C64A4"/>
    <w:rPr>
      <w:sz w:val="16"/>
      <w:szCs w:val="16"/>
    </w:rPr>
  </w:style>
  <w:style w:type="paragraph" w:styleId="CommentText">
    <w:name w:val="annotation text"/>
    <w:basedOn w:val="Normal"/>
    <w:link w:val="CommentTextChar"/>
    <w:uiPriority w:val="99"/>
    <w:semiHidden/>
    <w:unhideWhenUsed/>
    <w:rsid w:val="005C64A4"/>
  </w:style>
  <w:style w:type="character" w:customStyle="1" w:styleId="CommentTextChar">
    <w:name w:val="Comment Text Char"/>
    <w:basedOn w:val="DefaultParagraphFont"/>
    <w:link w:val="CommentText"/>
    <w:uiPriority w:val="99"/>
    <w:semiHidden/>
    <w:rsid w:val="005C64A4"/>
    <w:rPr>
      <w:rFonts w:eastAsia="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C64A4"/>
    <w:rPr>
      <w:b/>
      <w:bCs/>
    </w:rPr>
  </w:style>
  <w:style w:type="character" w:customStyle="1" w:styleId="CommentSubjectChar">
    <w:name w:val="Comment Subject Char"/>
    <w:basedOn w:val="CommentTextChar"/>
    <w:link w:val="CommentSubject"/>
    <w:uiPriority w:val="99"/>
    <w:semiHidden/>
    <w:rsid w:val="005C64A4"/>
    <w:rPr>
      <w:rFonts w:eastAsia="Times New Roman"/>
      <w:b/>
      <w:bCs/>
      <w:sz w:val="20"/>
      <w:szCs w:val="20"/>
      <w:lang w:val="en-GB" w:eastAsia="en-GB"/>
    </w:rPr>
  </w:style>
  <w:style w:type="paragraph" w:styleId="Revision">
    <w:name w:val="Revision"/>
    <w:hidden/>
    <w:uiPriority w:val="99"/>
    <w:semiHidden/>
    <w:rsid w:val="002B7201"/>
    <w:rPr>
      <w:rFonts w:eastAsia="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CE54-3594-4D86-92CF-BEF37C4F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Cvetkovska</dc:creator>
  <cp:lastModifiedBy>Baftie</cp:lastModifiedBy>
  <cp:revision>2</cp:revision>
  <cp:lastPrinted>2019-07-25T07:13:00Z</cp:lastPrinted>
  <dcterms:created xsi:type="dcterms:W3CDTF">2024-08-07T07:17:00Z</dcterms:created>
  <dcterms:modified xsi:type="dcterms:W3CDTF">2024-08-07T07:17:00Z</dcterms:modified>
</cp:coreProperties>
</file>