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6A20A" w14:textId="77777777" w:rsidR="00330A3B" w:rsidRPr="00D779B0" w:rsidRDefault="006D29A5" w:rsidP="00B97D2C">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РЕГУЛАТИВА ЗА СПРОВЕДУВАЊЕ (ЕУ) 2024/2076 НА КОМИСИЈАТА</w:t>
      </w:r>
    </w:p>
    <w:p w14:paraId="10A31235" w14:textId="77777777" w:rsidR="00330A3B" w:rsidRPr="00D779B0" w:rsidRDefault="006D29A5" w:rsidP="00B97D2C">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од 24 јули 2024 година</w:t>
      </w:r>
    </w:p>
    <w:p w14:paraId="09F3AAF0" w14:textId="78D6E8C4" w:rsidR="00330A3B" w:rsidRPr="00D779B0" w:rsidRDefault="006D29A5" w:rsidP="00B97D2C">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за изменување на Регулативите (ЕУ) бр. 1178/2011 и (ЕУ) бр. 965/2012 во однос на појаснувањето на условите за копилотите на крстарење, ажурирањата на условите за издавање на дозволи и издавање на уверенија за здравствена способност на екипажот на летање и подобрувања за општата авијација</w:t>
      </w:r>
    </w:p>
    <w:p w14:paraId="63F17BA6"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ЕВРОПСКАТА КОМИСИЈА,</w:t>
      </w:r>
    </w:p>
    <w:p w14:paraId="42216D91"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имајќи го предвид Договорот за функционирање на Европската Унија,</w:t>
      </w:r>
    </w:p>
    <w:p w14:paraId="17751A7C" w14:textId="34168F6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sz w:val="24"/>
          <w:szCs w:val="24"/>
        </w:rPr>
        <w:t xml:space="preserve">имајќи ја предвид Регулативата (ЕУ) 2018/1139 на Европскиот парламент и на Советот од 4 јули 2018 година за заеднички правила во областа на цивилното воздухопловство и за основање Агенција за безбедност во воздухопловството на Европската Унија и за изменување на Регулативите (ЕЗ) бр. 2111/2005, (ЕЗ) бр. 1008/2008, (ЕУ) бр. 996/2010, (ЕУ) бр. 376/2014 и Директивите 2014/30/ЕУ и 2014/53/ЕУ на Европскиот парламент и на Советот и за укинување на Регулативите (ЕЗ) бр. 552/2008 и (ЕЗ) бр. 216/2008 на Европскиот парламент и на Советот и Регулативата (ЕЕЗ) бр. 3922/91 на Советот </w:t>
      </w:r>
      <w:r w:rsidRPr="00D779B0">
        <w:rPr>
          <w:rFonts w:ascii="Times New Roman" w:hAnsi="Times New Roman" w:cs="Times New Roman"/>
          <w:color w:val="000000"/>
          <w:sz w:val="24"/>
          <w:szCs w:val="24"/>
        </w:rPr>
        <w:t>(</w:t>
      </w:r>
      <w:r w:rsidR="00B97D2C" w:rsidRPr="00D779B0">
        <w:rPr>
          <w:rStyle w:val="FootnoteReference"/>
          <w:rFonts w:ascii="Times New Roman" w:hAnsi="Times New Roman" w:cs="Times New Roman"/>
          <w:color w:val="000000"/>
          <w:sz w:val="24"/>
          <w:szCs w:val="24"/>
          <w:lang w:val="en-GB"/>
        </w:rPr>
        <w:footnoteReference w:id="1"/>
      </w:r>
      <w:r w:rsidRPr="00D779B0">
        <w:rPr>
          <w:rFonts w:ascii="Times New Roman" w:hAnsi="Times New Roman" w:cs="Times New Roman"/>
          <w:color w:val="000000"/>
          <w:sz w:val="24"/>
          <w:szCs w:val="24"/>
        </w:rPr>
        <w:t>)</w:t>
      </w:r>
      <w:r w:rsidRPr="00D779B0">
        <w:rPr>
          <w:rFonts w:ascii="Times New Roman" w:hAnsi="Times New Roman" w:cs="Times New Roman"/>
          <w:sz w:val="24"/>
          <w:szCs w:val="24"/>
        </w:rPr>
        <w:t>, а особено членовите 23, 27 и 31 од истата,</w:t>
      </w:r>
    </w:p>
    <w:p w14:paraId="0285D37A"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со оглед на тоа што:</w:t>
      </w:r>
    </w:p>
    <w:p w14:paraId="630EAD49" w14:textId="0E08FCF3"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sz w:val="24"/>
          <w:szCs w:val="24"/>
        </w:rPr>
        <w:t>Регулативата (ЕУ) бр. 1178/2011 на Комисијата</w:t>
      </w:r>
      <w:hyperlink w:anchor="bookmark1" w:history="1">
        <w:r w:rsidRPr="00D779B0">
          <w:rPr>
            <w:rFonts w:ascii="Times New Roman" w:hAnsi="Times New Roman" w:cs="Times New Roman"/>
            <w:color w:val="000000"/>
            <w:sz w:val="24"/>
            <w:szCs w:val="24"/>
          </w:rPr>
          <w:t xml:space="preserve"> </w:t>
        </w:r>
      </w:hyperlink>
      <w:r w:rsidRPr="00D779B0">
        <w:rPr>
          <w:rFonts w:ascii="Times New Roman" w:hAnsi="Times New Roman" w:cs="Times New Roman"/>
          <w:color w:val="000000"/>
          <w:sz w:val="24"/>
          <w:szCs w:val="24"/>
        </w:rPr>
        <w:t>(</w:t>
      </w:r>
      <w:r w:rsidR="00B97D2C" w:rsidRPr="00D779B0">
        <w:rPr>
          <w:rStyle w:val="FootnoteReference"/>
          <w:rFonts w:ascii="Times New Roman" w:hAnsi="Times New Roman" w:cs="Times New Roman"/>
          <w:color w:val="000000"/>
          <w:sz w:val="24"/>
          <w:szCs w:val="24"/>
          <w:lang w:val="en-GB"/>
        </w:rPr>
        <w:footnoteReference w:id="2"/>
      </w:r>
      <w:r w:rsidRPr="00D779B0">
        <w:rPr>
          <w:rFonts w:ascii="Times New Roman" w:hAnsi="Times New Roman" w:cs="Times New Roman"/>
          <w:color w:val="000000"/>
          <w:sz w:val="24"/>
          <w:szCs w:val="24"/>
        </w:rPr>
        <w:t>)</w:t>
      </w:r>
      <w:r w:rsidR="00C74D50">
        <w:rPr>
          <w:rFonts w:ascii="Times New Roman" w:hAnsi="Times New Roman" w:cs="Times New Roman"/>
          <w:color w:val="000000"/>
          <w:sz w:val="24"/>
          <w:szCs w:val="24"/>
        </w:rPr>
        <w:t xml:space="preserve"> </w:t>
      </w:r>
      <w:r w:rsidRPr="00D779B0">
        <w:rPr>
          <w:rFonts w:ascii="Times New Roman" w:hAnsi="Times New Roman" w:cs="Times New Roman"/>
          <w:sz w:val="24"/>
          <w:szCs w:val="24"/>
        </w:rPr>
        <w:t>ги утврдува условите за пилотите кои се вклучени во операциите на воздухоплови како што е наведено во член 2(1), точки (б)(i) и (ii) од Регулативата (ЕУ) 2018/1139.</w:t>
      </w:r>
    </w:p>
    <w:p w14:paraId="451AABAE" w14:textId="09DCA077"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sz w:val="24"/>
          <w:szCs w:val="24"/>
        </w:rPr>
        <w:t>Регулативата (ЕУ) бр. 965/2012 на Комисијата</w:t>
      </w:r>
      <w:hyperlink w:anchor="bookmark2" w:history="1">
        <w:r w:rsidRPr="00D779B0">
          <w:rPr>
            <w:rFonts w:ascii="Times New Roman" w:hAnsi="Times New Roman" w:cs="Times New Roman"/>
            <w:color w:val="000000"/>
            <w:sz w:val="24"/>
            <w:szCs w:val="24"/>
          </w:rPr>
          <w:t xml:space="preserve"> </w:t>
        </w:r>
      </w:hyperlink>
      <w:r w:rsidRPr="00D779B0">
        <w:rPr>
          <w:rFonts w:ascii="Times New Roman" w:hAnsi="Times New Roman" w:cs="Times New Roman"/>
          <w:color w:val="000000"/>
          <w:sz w:val="24"/>
          <w:szCs w:val="24"/>
        </w:rPr>
        <w:t>(</w:t>
      </w:r>
      <w:r w:rsidR="00B97D2C" w:rsidRPr="00D779B0">
        <w:rPr>
          <w:rStyle w:val="FootnoteReference"/>
          <w:rFonts w:ascii="Times New Roman" w:hAnsi="Times New Roman" w:cs="Times New Roman"/>
          <w:color w:val="000000"/>
          <w:sz w:val="24"/>
          <w:szCs w:val="24"/>
          <w:lang w:val="en-GB"/>
        </w:rPr>
        <w:footnoteReference w:id="3"/>
      </w:r>
      <w:r w:rsidRPr="00D779B0">
        <w:rPr>
          <w:rFonts w:ascii="Times New Roman" w:hAnsi="Times New Roman" w:cs="Times New Roman"/>
          <w:color w:val="000000"/>
          <w:sz w:val="24"/>
          <w:szCs w:val="24"/>
        </w:rPr>
        <w:t>)</w:t>
      </w:r>
      <w:r w:rsidRPr="00D779B0">
        <w:rPr>
          <w:rFonts w:ascii="Times New Roman" w:hAnsi="Times New Roman" w:cs="Times New Roman"/>
          <w:sz w:val="24"/>
          <w:szCs w:val="24"/>
        </w:rPr>
        <w:t xml:space="preserve"> ги утврдува техничките услови и административните постапки во врска со воздушните операции.</w:t>
      </w:r>
    </w:p>
    <w:p w14:paraId="2B38FABE" w14:textId="49377B4D"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sz w:val="24"/>
          <w:szCs w:val="24"/>
        </w:rPr>
        <w:t xml:space="preserve">Во согласност со член 140(2), точка (б) од Регулативата (ЕУ) 2018/1139, Регулативата (ЕУ) бр. 1178/2011 треба да се </w:t>
      </w:r>
      <w:r w:rsidR="00C31894" w:rsidRPr="00D779B0">
        <w:rPr>
          <w:rFonts w:ascii="Times New Roman" w:hAnsi="Times New Roman" w:cs="Times New Roman"/>
          <w:sz w:val="24"/>
          <w:szCs w:val="24"/>
        </w:rPr>
        <w:t xml:space="preserve">приспособи </w:t>
      </w:r>
      <w:r w:rsidR="00D45155">
        <w:rPr>
          <w:rFonts w:ascii="Times New Roman" w:hAnsi="Times New Roman" w:cs="Times New Roman"/>
          <w:sz w:val="24"/>
          <w:szCs w:val="24"/>
        </w:rPr>
        <w:t>кон Регулативата</w:t>
      </w:r>
      <w:r w:rsidRPr="00D779B0">
        <w:rPr>
          <w:rFonts w:ascii="Times New Roman" w:hAnsi="Times New Roman" w:cs="Times New Roman"/>
          <w:sz w:val="24"/>
          <w:szCs w:val="24"/>
        </w:rPr>
        <w:t xml:space="preserve"> (ЕУ) 2018/1139 во однос на дефиницијата за сложен воздухоплов на моторен погон која беше вклучена во Регулативата (ЕЗ) бр. 216/2008 на Европскиот парламент и на Советот (</w:t>
      </w:r>
      <w:r w:rsidR="00B97D2C" w:rsidRPr="00D779B0">
        <w:rPr>
          <w:rStyle w:val="FootnoteReference"/>
          <w:rFonts w:ascii="Times New Roman" w:hAnsi="Times New Roman" w:cs="Times New Roman"/>
          <w:sz w:val="24"/>
          <w:szCs w:val="24"/>
          <w:lang w:val="en-US"/>
        </w:rPr>
        <w:footnoteReference w:id="4"/>
      </w:r>
      <w:r w:rsidRPr="00D779B0">
        <w:rPr>
          <w:rFonts w:ascii="Times New Roman" w:hAnsi="Times New Roman" w:cs="Times New Roman"/>
          <w:sz w:val="24"/>
          <w:szCs w:val="24"/>
        </w:rPr>
        <w:t xml:space="preserve">), укината со Регулативата (ЕУ) </w:t>
      </w:r>
      <w:r w:rsidRPr="00D779B0">
        <w:rPr>
          <w:rFonts w:ascii="Times New Roman" w:hAnsi="Times New Roman" w:cs="Times New Roman"/>
          <w:sz w:val="24"/>
          <w:szCs w:val="24"/>
        </w:rPr>
        <w:lastRenderedPageBreak/>
        <w:t>2018/1139.</w:t>
      </w:r>
      <w:r w:rsidRPr="00D779B0">
        <w:rPr>
          <w:rFonts w:ascii="Times New Roman" w:hAnsi="Times New Roman" w:cs="Times New Roman"/>
          <w:color w:val="000000"/>
          <w:sz w:val="24"/>
          <w:szCs w:val="24"/>
        </w:rPr>
        <w:t xml:space="preserve"> Затоа, Регулативата (ЕУ) бр. 1178/2011 треба соодветно да се измени.</w:t>
      </w:r>
    </w:p>
    <w:p w14:paraId="43F81E45" w14:textId="4A3DBA0B"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Во однос на авионите со еден мотор, Регулативата (ЕУ) бр. 1178/2011 треба да се измени за да ги одрази најновите технички </w:t>
      </w:r>
      <w:r w:rsidR="00C31894" w:rsidRPr="00D779B0">
        <w:rPr>
          <w:rFonts w:ascii="Times New Roman" w:hAnsi="Times New Roman" w:cs="Times New Roman"/>
          <w:color w:val="000000"/>
          <w:sz w:val="24"/>
          <w:szCs w:val="24"/>
        </w:rPr>
        <w:t xml:space="preserve">постигнувања </w:t>
      </w:r>
      <w:r w:rsidRPr="00D779B0">
        <w:rPr>
          <w:rFonts w:ascii="Times New Roman" w:hAnsi="Times New Roman" w:cs="Times New Roman"/>
          <w:color w:val="000000"/>
          <w:sz w:val="24"/>
          <w:szCs w:val="24"/>
        </w:rPr>
        <w:t>и да ги разгледа идните проектирања, како што се проектирањата на електричните мотори и хибридните мотори, кои се состојат и од термички и од електрични составни делови на моторот.</w:t>
      </w:r>
    </w:p>
    <w:p w14:paraId="20AE0F57" w14:textId="0067C51B"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Регулативата (ЕУ) бр. 1178/2011, исто така, треба да се измени за да се разјаснат и ажурираат нејзините одредби, врз основа на прашања што нејзините советодавни тела ѝ ги истакнаа на Агенцијата за безбедност во воздухопловството на Европската Унија, откриени за време на активностите за поддршка на следење и спроведување или идентификувани како конкретно проблематични за општа авијација или издавање на воздухопловно-медицински уверенија.</w:t>
      </w:r>
    </w:p>
    <w:p w14:paraId="508F4104" w14:textId="2801420D"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При поедноставување на условите за повторно потврдување на важноста на правата на имател на овластување за планински терен, треба да се воведат соодветни преодни одредби за да се осигури непречена транзиција од сегашните кон идните применливи услови.</w:t>
      </w:r>
    </w:p>
    <w:p w14:paraId="5774E327" w14:textId="3D171309"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Одредбите за копилотите на крстарење во двете Регулативи (ЕУ) бр. 1178/2011 и (ЕУ) бр. 965/2012 треба да се ревидираат за да се осигури соодветна обука на таквите пилоти и да се воспостават соодветни оперативни процедури за пренос на овластувања меѓу членовите на екипажот на летање.</w:t>
      </w:r>
    </w:p>
    <w:p w14:paraId="3A3B46AE" w14:textId="39420E58"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Одредбите за пилоти кои наполниле 60 години и кои се вклучени во операции на хеликоптерската медицинска служба за итна помош (HEMS) со само еден пилот во двете Регулативи (ЕУ) бр. 1178/2011 и (ЕУ) бр. 965/2012 треба да се ревидираат за да се олесни поголема покриеност на операциите на HEMS, со што се балансира потребата за зголемена достапност на медицински услуги со ризиците од операциите со пилоти на возраст над 60 години.</w:t>
      </w:r>
    </w:p>
    <w:p w14:paraId="0F135030" w14:textId="37574F99"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Со оглед на тоа што медицинските истражувања бараат строги протоколи, одредбите од Регулативите (ЕУ) бр. 1178/2011 и (ЕУ) бр. 965/2012 во врска со посебни медицински околности треба да се ревидираат за да се осигури дека тие се погодни за намената, не влијаат негативно врз безбедноста на летот и осигуруваат усогласеност со утврдените принципи за медицински истражувања.</w:t>
      </w:r>
    </w:p>
    <w:p w14:paraId="72F80625" w14:textId="7AD06C40"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Одредбите кои им дозволуваат на лицата да поднесуваат барање за промена на нивниот надлежен орган треба да се ревидираат за да се применуваат и за имателите на уверенија за здравствена способност кои сè уште не добиле дозвола.</w:t>
      </w:r>
    </w:p>
    <w:p w14:paraId="3010A8F0" w14:textId="0E045DDB"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Со оглед на тоа што Меѓународната организација за цивилно </w:t>
      </w:r>
      <w:r w:rsidRPr="00D779B0">
        <w:rPr>
          <w:rFonts w:ascii="Times New Roman" w:hAnsi="Times New Roman" w:cs="Times New Roman"/>
          <w:color w:val="000000"/>
          <w:sz w:val="24"/>
          <w:szCs w:val="24"/>
        </w:rPr>
        <w:lastRenderedPageBreak/>
        <w:t>воздухопловство препорачува процена на факторите на ризик за здравјето и превентивни совети, условите за здравствена способност треба да се ревидираат за да се овозможи процена на здравствените ризици, а особено на факторите на ризик од кардиоваскуларни болести.</w:t>
      </w:r>
    </w:p>
    <w:p w14:paraId="0A2DBD75" w14:textId="362D2A26"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Одредбите за воздухопловно-медицинска процена треба да се ревидираат за да се осигури дека тие соодветно ги земаат предвид дегенеративните ефекти од стареењето врз системите на телото.</w:t>
      </w:r>
    </w:p>
    <w:p w14:paraId="17C9E2CF" w14:textId="61701723"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Измените на условите за уверенија за здравствена способност, за воздухопловно-медицински испитувачи и за воздухопловно-медицински центри, како и измените во врска со старосните ограничувања за пилоти ангажирани во ХЕМС, треба да се применуваат со одложување, за да им се даде потребно време на надлежните органи на земјите членки да се подготват за спроведување на тие регулаторни измени.</w:t>
      </w:r>
    </w:p>
    <w:p w14:paraId="370EE69B" w14:textId="7DB6C805"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Агенцијата за безбедност во воздухопловството на Европската Унија подготви нацрт</w:t>
      </w:r>
      <w:r w:rsidR="00C31894">
        <w:rPr>
          <w:rFonts w:ascii="Times New Roman" w:hAnsi="Times New Roman" w:cs="Times New Roman"/>
          <w:color w:val="000000"/>
          <w:sz w:val="24"/>
          <w:szCs w:val="24"/>
        </w:rPr>
        <w:t>-</w:t>
      </w:r>
      <w:r w:rsidRPr="00D779B0">
        <w:rPr>
          <w:rFonts w:ascii="Times New Roman" w:hAnsi="Times New Roman" w:cs="Times New Roman"/>
          <w:color w:val="000000"/>
          <w:sz w:val="24"/>
          <w:szCs w:val="24"/>
        </w:rPr>
        <w:t>правила за спроведување и ги достави со Мислење 05/2023 во согласност со член 75(2), точки (б) и (в) и член 76(1) од Регулативата (ЕУ) 2018/1139.</w:t>
      </w:r>
    </w:p>
    <w:p w14:paraId="51B1A61E" w14:textId="68246E50" w:rsidR="00330A3B" w:rsidRPr="00D779B0" w:rsidRDefault="006D29A5" w:rsidP="006D31BA">
      <w:pPr>
        <w:pStyle w:val="ListParagraph"/>
        <w:numPr>
          <w:ilvl w:val="0"/>
          <w:numId w:val="1"/>
        </w:numPr>
        <w:shd w:val="clear" w:color="auto" w:fill="FFFFFF"/>
        <w:spacing w:before="120" w:after="120"/>
        <w:ind w:left="567" w:hanging="567"/>
        <w:contextualSpacing w:val="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Мерките предвидени со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 xml:space="preserve"> се во согласност со мислењето на Комитетот формиран во согласност со член 127(1) од Регулативата (ЕУ) 2018/1139,</w:t>
      </w:r>
    </w:p>
    <w:p w14:paraId="273EB6A0" w14:textId="5F0E887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JA </w:t>
      </w:r>
      <w:r w:rsidR="00C74D50">
        <w:rPr>
          <w:rFonts w:ascii="Times New Roman" w:hAnsi="Times New Roman" w:cs="Times New Roman"/>
          <w:color w:val="000000"/>
          <w:sz w:val="24"/>
          <w:szCs w:val="24"/>
        </w:rPr>
        <w:t>ДОНЕСЕ</w:t>
      </w:r>
      <w:r w:rsidR="00C74D50"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ОВАА РЕГУЛАТИВА:</w:t>
      </w:r>
    </w:p>
    <w:p w14:paraId="2BF0D6EB" w14:textId="77777777" w:rsidR="00330A3B" w:rsidRPr="00D779B0" w:rsidRDefault="006D29A5" w:rsidP="000A1C0B">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t>Член 1</w:t>
      </w:r>
    </w:p>
    <w:p w14:paraId="5171B117" w14:textId="728DCF6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Регулативата (ЕУ) бр. 1178/2011 се изменува како што следува: (1)</w:t>
      </w:r>
      <w:r w:rsidRPr="00D779B0">
        <w:rPr>
          <w:rFonts w:ascii="Times New Roman" w:hAnsi="Times New Roman" w:cs="Times New Roman"/>
          <w:color w:val="000000"/>
          <w:sz w:val="24"/>
          <w:szCs w:val="24"/>
        </w:rPr>
        <w:tab/>
        <w:t>Член 2 се изменува како што следува:</w:t>
      </w:r>
    </w:p>
    <w:p w14:paraId="11A39048" w14:textId="0A463A6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се брише точка (3);</w:t>
      </w:r>
    </w:p>
    <w:p w14:paraId="4AE2D43A" w14:textId="5BEE992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се вметнуваат следниве точки (3а) и (3б):</w:t>
      </w:r>
    </w:p>
    <w:p w14:paraId="7AF48624" w14:textId="5A5D2A7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„(3а)</w:t>
      </w:r>
      <w:r w:rsidRPr="00D779B0">
        <w:rPr>
          <w:rFonts w:ascii="Times New Roman" w:hAnsi="Times New Roman" w:cs="Times New Roman"/>
          <w:color w:val="000000"/>
          <w:sz w:val="24"/>
          <w:szCs w:val="24"/>
        </w:rPr>
        <w:tab/>
        <w:t>„Сложен авион“ е авион што исполнува една од следниве карактеристики:</w:t>
      </w:r>
    </w:p>
    <w:p w14:paraId="11CB0173" w14:textId="4B96E69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со максимално</w:t>
      </w:r>
      <w:r w:rsidR="00C74D5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одобрена маса на полетување над 5 700 kg:</w:t>
      </w:r>
    </w:p>
    <w:p w14:paraId="340361AF" w14:textId="667D06F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кој поседува уверение за максимална конфигурација на седишта за патници од повеќе од деветнаесет;</w:t>
      </w:r>
    </w:p>
    <w:p w14:paraId="00C7464D" w14:textId="503F048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кој поседува уверение за операција со минимум екипаж од двајца пилоти;</w:t>
      </w:r>
    </w:p>
    <w:p w14:paraId="1FA0DB2E" w14:textId="77777777" w:rsidR="000A1C0B"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(iv)</w:t>
      </w:r>
      <w:r w:rsidRPr="00D779B0">
        <w:rPr>
          <w:rFonts w:ascii="Times New Roman" w:hAnsi="Times New Roman" w:cs="Times New Roman"/>
          <w:color w:val="000000"/>
          <w:sz w:val="24"/>
          <w:szCs w:val="24"/>
        </w:rPr>
        <w:tab/>
        <w:t>кој е опремен со турбомлазен мотор или турбомлазни мотори или повеќе од еден турбопропелерен мотор;</w:t>
      </w:r>
    </w:p>
    <w:p w14:paraId="77E0B5A3" w14:textId="527CFA7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„(3б)</w:t>
      </w:r>
      <w:r w:rsidRPr="00D779B0">
        <w:rPr>
          <w:rFonts w:ascii="Times New Roman" w:hAnsi="Times New Roman" w:cs="Times New Roman"/>
          <w:color w:val="000000"/>
          <w:sz w:val="24"/>
          <w:szCs w:val="24"/>
        </w:rPr>
        <w:tab/>
        <w:t>„Сложен хеликоптер“ е хеликоптер што исполнува една од следниве карактеристики:</w:t>
      </w:r>
    </w:p>
    <w:p w14:paraId="02A51ADE" w14:textId="771A38F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со максимално</w:t>
      </w:r>
      <w:r w:rsidR="00C74D5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одобрена маса на полетување над 3 175 kg:</w:t>
      </w:r>
    </w:p>
    <w:p w14:paraId="13045DD7" w14:textId="64CCA1C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(ii)</w:t>
      </w:r>
      <w:r w:rsidRPr="00D779B0">
        <w:rPr>
          <w:rFonts w:ascii="Times New Roman" w:hAnsi="Times New Roman" w:cs="Times New Roman"/>
          <w:color w:val="000000"/>
          <w:sz w:val="24"/>
          <w:szCs w:val="24"/>
        </w:rPr>
        <w:tab/>
        <w:t>кој поседува уверение за максимална конфигурација на седишта за патници од повеќе од девет;</w:t>
      </w:r>
    </w:p>
    <w:p w14:paraId="2990B483" w14:textId="54F8ADC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кој поседува уверение за операција со минимум екипаж од двајца пилоти;“;</w:t>
      </w:r>
    </w:p>
    <w:p w14:paraId="2F69C0EF" w14:textId="3D22702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се вметнуваат следниве точки (8в) и (8г):</w:t>
      </w:r>
    </w:p>
    <w:p w14:paraId="071B6546" w14:textId="4408B92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„(8в)</w:t>
      </w:r>
      <w:r w:rsidR="00C74D50">
        <w:rPr>
          <w:rFonts w:ascii="Times New Roman" w:hAnsi="Times New Roman" w:cs="Times New Roman"/>
          <w:color w:val="000000"/>
          <w:sz w:val="24"/>
          <w:szCs w:val="24"/>
        </w:rPr>
        <w:tab/>
      </w:r>
      <w:r w:rsidRPr="00D779B0">
        <w:rPr>
          <w:rFonts w:ascii="Times New Roman" w:hAnsi="Times New Roman" w:cs="Times New Roman"/>
          <w:color w:val="000000"/>
          <w:sz w:val="24"/>
          <w:szCs w:val="24"/>
        </w:rPr>
        <w:t>„SEP-авион“ е авион со еден мотор, авион со само еден пилот за кој не е потребно овластување за типот и чија единечна централна погонска единица е управувана од единечна контрола на потисок и управувана од еден од следниве типови мотори:</w:t>
      </w:r>
    </w:p>
    <w:p w14:paraId="4108D6BE" w14:textId="0F4BDF0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клипен мотор;</w:t>
      </w:r>
    </w:p>
    <w:p w14:paraId="0B23063A" w14:textId="72459EB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систем со електричен мотор кој, доколку е така наведено по процесот на издавање на уверение во согласност со Регулативата (ЕУ) бр. 748/2012, може да се состои од повеќе од еден електричен мотор;</w:t>
      </w:r>
    </w:p>
    <w:p w14:paraId="59B29252" w14:textId="1DB390B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00C74D50">
        <w:rPr>
          <w:rFonts w:ascii="Times New Roman" w:hAnsi="Times New Roman" w:cs="Times New Roman"/>
          <w:color w:val="000000"/>
          <w:sz w:val="24"/>
          <w:szCs w:val="24"/>
        </w:rPr>
        <w:tab/>
      </w:r>
      <w:r w:rsidRPr="00D779B0">
        <w:rPr>
          <w:rFonts w:ascii="Times New Roman" w:hAnsi="Times New Roman" w:cs="Times New Roman"/>
          <w:color w:val="000000"/>
          <w:sz w:val="24"/>
          <w:szCs w:val="24"/>
        </w:rPr>
        <w:t>систем со хибриден мотор кој се состои од клипни и електрични мотори, доколку е така наведено по процесот на издавање на уверение во согласност со Регулативата (ЕУ) бр. 748/2012;</w:t>
      </w:r>
    </w:p>
    <w:p w14:paraId="32A436EC" w14:textId="0CC29E6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(8г)</w:t>
      </w:r>
      <w:r w:rsidR="00C74D50">
        <w:rPr>
          <w:rFonts w:ascii="Times New Roman" w:hAnsi="Times New Roman" w:cs="Times New Roman"/>
          <w:color w:val="000000"/>
          <w:sz w:val="24"/>
          <w:szCs w:val="24"/>
        </w:rPr>
        <w:tab/>
      </w:r>
      <w:r w:rsidRPr="00D779B0">
        <w:rPr>
          <w:rFonts w:ascii="Times New Roman" w:hAnsi="Times New Roman" w:cs="Times New Roman"/>
          <w:color w:val="000000"/>
          <w:sz w:val="24"/>
          <w:szCs w:val="24"/>
        </w:rPr>
        <w:t>„SEP-хеликоптер“ е хеликоптер со еден мотор, хеликоптер со само еден пилот кој се придвижува со клипен мотор;“;</w:t>
      </w:r>
    </w:p>
    <w:p w14:paraId="60DBBB1F" w14:textId="4BF6E50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во член 3, став (1) се заменува со следново:</w:t>
      </w:r>
    </w:p>
    <w:p w14:paraId="68A687B9" w14:textId="2142E56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r>
      <w:r w:rsidRPr="00D779B0">
        <w:rPr>
          <w:rFonts w:ascii="Times New Roman" w:hAnsi="Times New Roman" w:cs="Times New Roman"/>
          <w:sz w:val="24"/>
          <w:szCs w:val="24"/>
        </w:rPr>
        <w:t xml:space="preserve">Без да е во спротивност со Делегираната регулатива (ЕУ) 2020/723 </w:t>
      </w:r>
      <w:hyperlink w:anchor="bookmark4" w:history="1">
        <w:r w:rsidRPr="00D779B0">
          <w:rPr>
            <w:rFonts w:ascii="Times New Roman" w:hAnsi="Times New Roman" w:cs="Times New Roman"/>
            <w:color w:val="000000"/>
            <w:sz w:val="24"/>
            <w:szCs w:val="24"/>
          </w:rPr>
          <w:t xml:space="preserve"> (*)</w:t>
        </w:r>
      </w:hyperlink>
      <w:r w:rsidRPr="00D779B0">
        <w:rPr>
          <w:rFonts w:ascii="Times New Roman" w:hAnsi="Times New Roman" w:cs="Times New Roman"/>
          <w:sz w:val="24"/>
          <w:szCs w:val="24"/>
        </w:rPr>
        <w:t xml:space="preserve"> на Комисијата, пилотите на воздухоплови наведени во член 2(1), точки (б)(i) и (ii) од Регулативата (ЕУ) 2018/1139 треба да се исполнат техничките услови и административните постапки утврдени во Анекс I и Анекс IV кон </w:t>
      </w:r>
      <w:r w:rsidR="00C74D50">
        <w:rPr>
          <w:rFonts w:ascii="Times New Roman" w:hAnsi="Times New Roman" w:cs="Times New Roman"/>
          <w:sz w:val="24"/>
          <w:szCs w:val="24"/>
        </w:rPr>
        <w:t>оваа регулатива</w:t>
      </w:r>
      <w:r w:rsidRPr="00D779B0">
        <w:rPr>
          <w:rFonts w:ascii="Times New Roman" w:hAnsi="Times New Roman" w:cs="Times New Roman"/>
          <w:sz w:val="24"/>
          <w:szCs w:val="24"/>
        </w:rPr>
        <w:t>.</w:t>
      </w:r>
    </w:p>
    <w:p w14:paraId="57B1C0E3"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bookmarkStart w:id="0" w:name="bookmark4"/>
      <w:bookmarkEnd w:id="0"/>
      <w:r w:rsidRPr="00D779B0">
        <w:rPr>
          <w:rFonts w:ascii="Times New Roman" w:hAnsi="Times New Roman" w:cs="Times New Roman"/>
          <w:color w:val="000000"/>
          <w:sz w:val="24"/>
          <w:szCs w:val="24"/>
        </w:rPr>
        <w:t>___________</w:t>
      </w:r>
    </w:p>
    <w:p w14:paraId="21A06020" w14:textId="33BD35A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sz w:val="24"/>
          <w:szCs w:val="24"/>
        </w:rPr>
        <w:t>(*)</w:t>
      </w:r>
      <w:r w:rsidRPr="00D779B0">
        <w:rPr>
          <w:rFonts w:ascii="Times New Roman" w:hAnsi="Times New Roman" w:cs="Times New Roman"/>
          <w:sz w:val="24"/>
          <w:szCs w:val="24"/>
        </w:rPr>
        <w:tab/>
        <w:t xml:space="preserve">Делегирана </w:t>
      </w:r>
      <w:r w:rsidR="00C74D50">
        <w:rPr>
          <w:rFonts w:ascii="Times New Roman" w:hAnsi="Times New Roman" w:cs="Times New Roman"/>
          <w:sz w:val="24"/>
          <w:szCs w:val="24"/>
        </w:rPr>
        <w:t>р</w:t>
      </w:r>
      <w:r w:rsidRPr="00D779B0">
        <w:rPr>
          <w:rFonts w:ascii="Times New Roman" w:hAnsi="Times New Roman" w:cs="Times New Roman"/>
          <w:sz w:val="24"/>
          <w:szCs w:val="24"/>
        </w:rPr>
        <w:t xml:space="preserve">егулатива (ЕУ) 2020/723 на Комисијата од 4 март 2020 година за утврдување на детални правила во однос на прифаќањето на издавањето на уверенија на пилоти од трети земји и за изменување </w:t>
      </w:r>
      <w:r w:rsidR="00D45155">
        <w:rPr>
          <w:rFonts w:ascii="Times New Roman" w:hAnsi="Times New Roman" w:cs="Times New Roman"/>
          <w:sz w:val="24"/>
          <w:szCs w:val="24"/>
        </w:rPr>
        <w:t>кон Регулативата</w:t>
      </w:r>
      <w:r w:rsidRPr="00D779B0">
        <w:rPr>
          <w:rFonts w:ascii="Times New Roman" w:hAnsi="Times New Roman" w:cs="Times New Roman"/>
          <w:sz w:val="24"/>
          <w:szCs w:val="24"/>
        </w:rPr>
        <w:t xml:space="preserve"> (ЕУ) бр. 1178/2011 (</w:t>
      </w:r>
      <w:r w:rsidR="00C74D50">
        <w:rPr>
          <w:rFonts w:ascii="Times New Roman" w:hAnsi="Times New Roman" w:cs="Times New Roman"/>
          <w:sz w:val="24"/>
          <w:szCs w:val="24"/>
        </w:rPr>
        <w:t>Сл. весник</w:t>
      </w:r>
      <w:r w:rsidRPr="00D779B0">
        <w:rPr>
          <w:rFonts w:ascii="Times New Roman" w:hAnsi="Times New Roman" w:cs="Times New Roman"/>
          <w:sz w:val="24"/>
          <w:szCs w:val="24"/>
        </w:rPr>
        <w:t xml:space="preserve"> L 170, 2.6.2020 , стр. 1, ELI: http://data.europa.eu/eli/reg_del/2020/723/oj).“;</w:t>
      </w:r>
    </w:p>
    <w:p w14:paraId="20945D14" w14:textId="20D8722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се вметнува следниов член 3а:</w:t>
      </w:r>
    </w:p>
    <w:p w14:paraId="76C39D9B" w14:textId="77777777" w:rsidR="00330A3B" w:rsidRPr="00D779B0" w:rsidRDefault="006D29A5" w:rsidP="00E80582">
      <w:pPr>
        <w:shd w:val="clear" w:color="auto" w:fill="FFFFFF"/>
        <w:spacing w:before="120" w:after="120"/>
        <w:jc w:val="both"/>
        <w:rPr>
          <w:rFonts w:ascii="Times New Roman" w:hAnsi="Times New Roman" w:cs="Times New Roman"/>
          <w:i/>
          <w:iCs/>
          <w:sz w:val="24"/>
          <w:szCs w:val="24"/>
        </w:rPr>
      </w:pPr>
      <w:r w:rsidRPr="00D779B0">
        <w:rPr>
          <w:rFonts w:ascii="Times New Roman" w:hAnsi="Times New Roman" w:cs="Times New Roman"/>
          <w:i/>
          <w:color w:val="000000"/>
          <w:sz w:val="24"/>
          <w:szCs w:val="24"/>
        </w:rPr>
        <w:t>„Член 3a</w:t>
      </w:r>
    </w:p>
    <w:p w14:paraId="49823F3D"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Применети преодни мерки за протоколи за процена на здравствената способност во согласност со точка ARA.MED.330 од Анекс VI (Дел-АРА) и уверенија за здравствена способност издадени врз основа на нив</w:t>
      </w:r>
    </w:p>
    <w:p w14:paraId="24C0F1C9" w14:textId="5A7756E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Надлежните органи вклучени во протоколи за процена на здравствената способност или кои сакаат да се приклучат на </w:t>
      </w:r>
      <w:r w:rsidR="00C31894" w:rsidRPr="00D779B0">
        <w:rPr>
          <w:rFonts w:ascii="Times New Roman" w:hAnsi="Times New Roman" w:cs="Times New Roman"/>
          <w:color w:val="000000"/>
          <w:sz w:val="24"/>
          <w:szCs w:val="24"/>
        </w:rPr>
        <w:t xml:space="preserve">постоен </w:t>
      </w:r>
      <w:r w:rsidRPr="00D779B0">
        <w:rPr>
          <w:rFonts w:ascii="Times New Roman" w:hAnsi="Times New Roman" w:cs="Times New Roman"/>
          <w:color w:val="000000"/>
          <w:sz w:val="24"/>
          <w:szCs w:val="24"/>
        </w:rPr>
        <w:t xml:space="preserve">протокол за процена на </w:t>
      </w:r>
      <w:r w:rsidRPr="00D779B0">
        <w:rPr>
          <w:rFonts w:ascii="Times New Roman" w:hAnsi="Times New Roman" w:cs="Times New Roman"/>
          <w:color w:val="000000"/>
          <w:sz w:val="24"/>
          <w:szCs w:val="24"/>
        </w:rPr>
        <w:lastRenderedPageBreak/>
        <w:t>здравствената способност, во согласност со точка ARA.MED.330 од Анекс VI (Дел-ARA) што се применува пред 13 февруари 2025 година може да продолжат да го применуваат или да се придружат на релевантен протокол до крајот на неговата важност, при што важноста е утврдена пред 13 август 2024 година.</w:t>
      </w:r>
    </w:p>
    <w:p w14:paraId="190871B5" w14:textId="312EB7C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Имателите на уверенија за здравствена способност издадени во согласност со протоколите за процена на здравствената способност наведени во став 1 може да ги остваруваат правата од нивните дозволи за пилоти врз основа на нивните уверенија за здравствена способност, сѐ додека релевантниот протокол за процена на здравствената способност продолжува да се применува во согласност со став 1.“;</w:t>
      </w:r>
    </w:p>
    <w:p w14:paraId="73FEDD61" w14:textId="62F42C8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во член 4(7), точка (б), точка (iii) се заменува со следново:</w:t>
      </w:r>
    </w:p>
    <w:p w14:paraId="137FCE06" w14:textId="3746FF8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SEP-авиони и SEP-хеликоптери, и двата со максимална маса на полетување до 2 000 kg;“;</w:t>
      </w:r>
    </w:p>
    <w:p w14:paraId="290F725B" w14:textId="01CD4B3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Pr="00D779B0">
        <w:rPr>
          <w:rFonts w:ascii="Times New Roman" w:hAnsi="Times New Roman" w:cs="Times New Roman"/>
          <w:color w:val="000000"/>
          <w:sz w:val="24"/>
          <w:szCs w:val="24"/>
        </w:rPr>
        <w:tab/>
        <w:t>се вметнува следниов член 9ж:</w:t>
      </w:r>
    </w:p>
    <w:p w14:paraId="50A2CD0C" w14:textId="77777777" w:rsidR="00330A3B" w:rsidRPr="00D779B0" w:rsidRDefault="006D29A5" w:rsidP="00E80582">
      <w:pPr>
        <w:shd w:val="clear" w:color="auto" w:fill="FFFFFF"/>
        <w:spacing w:before="120" w:after="120"/>
        <w:jc w:val="both"/>
        <w:rPr>
          <w:rFonts w:ascii="Times New Roman" w:hAnsi="Times New Roman" w:cs="Times New Roman"/>
          <w:i/>
          <w:iCs/>
          <w:sz w:val="24"/>
          <w:szCs w:val="24"/>
        </w:rPr>
      </w:pPr>
      <w:r w:rsidRPr="00D779B0">
        <w:rPr>
          <w:rFonts w:ascii="Times New Roman" w:hAnsi="Times New Roman" w:cs="Times New Roman"/>
          <w:i/>
          <w:color w:val="000000"/>
          <w:sz w:val="24"/>
          <w:szCs w:val="24"/>
        </w:rPr>
        <w:t>„Член 4ж</w:t>
      </w:r>
    </w:p>
    <w:p w14:paraId="10A123D9"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Преодни мерки за иматели на овластување за планински терен</w:t>
      </w:r>
    </w:p>
    <w:p w14:paraId="10E8F12F" w14:textId="2F4D798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Имателите на овластување за планински терен кое </w:t>
      </w:r>
      <w:r w:rsidR="00D33DE6" w:rsidRPr="00D779B0">
        <w:rPr>
          <w:rFonts w:ascii="Times New Roman" w:hAnsi="Times New Roman" w:cs="Times New Roman"/>
          <w:color w:val="000000"/>
          <w:sz w:val="24"/>
          <w:szCs w:val="24"/>
        </w:rPr>
        <w:t xml:space="preserve">било </w:t>
      </w:r>
      <w:r w:rsidRPr="00D779B0">
        <w:rPr>
          <w:rFonts w:ascii="Times New Roman" w:hAnsi="Times New Roman" w:cs="Times New Roman"/>
          <w:color w:val="000000"/>
          <w:sz w:val="24"/>
          <w:szCs w:val="24"/>
        </w:rPr>
        <w:t>издадено пред 13 август 2024 година со датум на истекување одобрен во согласност со точка FCL.815 од Анекс I, за да продолжат да ги остваруваат своите права по тој датум, ги преземаат следниве чекори:</w:t>
      </w:r>
    </w:p>
    <w:p w14:paraId="53795823" w14:textId="2A745F5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надлежниот орган повторно го издава нивното овластување за планински терен без датум на истекување;</w:t>
      </w:r>
    </w:p>
    <w:p w14:paraId="71371C2A" w14:textId="4518B1F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ја исполнуваат точка FCL.815(г) од Анекс I, освен ако, во претходните 2 години, тие повторно ја потврдиле важноста на нивното овластување за планински терен во согласност со точка FCL.815(д) од Анекс I што се применува до 12 август 2024 година.“;</w:t>
      </w:r>
    </w:p>
    <w:p w14:paraId="6A407536" w14:textId="69A1EC1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(6)</w:t>
      </w:r>
      <w:r w:rsidRPr="00D779B0">
        <w:rPr>
          <w:rFonts w:ascii="Times New Roman" w:hAnsi="Times New Roman" w:cs="Times New Roman"/>
          <w:color w:val="000000"/>
          <w:sz w:val="24"/>
          <w:szCs w:val="24"/>
        </w:rPr>
        <w:tab/>
        <w:t xml:space="preserve">Анекс I се изменува во согласност со Анекс I кон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w:t>
      </w:r>
    </w:p>
    <w:p w14:paraId="45DD7F7E" w14:textId="03EB755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(7)</w:t>
      </w:r>
      <w:r w:rsidRPr="00D779B0">
        <w:rPr>
          <w:rFonts w:ascii="Times New Roman" w:hAnsi="Times New Roman" w:cs="Times New Roman"/>
          <w:color w:val="000000"/>
          <w:sz w:val="24"/>
          <w:szCs w:val="24"/>
        </w:rPr>
        <w:tab/>
        <w:t xml:space="preserve">Анекс IV се изменува во согласност со Анекс II кон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w:t>
      </w:r>
    </w:p>
    <w:p w14:paraId="5D70EDAC" w14:textId="7B025B6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(8)</w:t>
      </w:r>
      <w:r w:rsidRPr="00D779B0">
        <w:rPr>
          <w:rFonts w:ascii="Times New Roman" w:hAnsi="Times New Roman" w:cs="Times New Roman"/>
          <w:color w:val="000000"/>
          <w:sz w:val="24"/>
          <w:szCs w:val="24"/>
        </w:rPr>
        <w:tab/>
        <w:t xml:space="preserve">Анекс VI се изменува во согласност со Анекс III кон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w:t>
      </w:r>
    </w:p>
    <w:p w14:paraId="505AC4B6" w14:textId="247990D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(9)</w:t>
      </w:r>
      <w:r w:rsidRPr="00D779B0">
        <w:rPr>
          <w:rFonts w:ascii="Times New Roman" w:hAnsi="Times New Roman" w:cs="Times New Roman"/>
          <w:color w:val="000000"/>
          <w:sz w:val="24"/>
          <w:szCs w:val="24"/>
        </w:rPr>
        <w:tab/>
        <w:t xml:space="preserve">Анекс VII се изменува во согласност со Анекс IV кон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w:t>
      </w:r>
    </w:p>
    <w:p w14:paraId="4539632B" w14:textId="66B5EC2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(10)</w:t>
      </w:r>
      <w:r w:rsidRPr="00D779B0">
        <w:rPr>
          <w:rFonts w:ascii="Times New Roman" w:hAnsi="Times New Roman" w:cs="Times New Roman"/>
          <w:color w:val="000000"/>
          <w:sz w:val="24"/>
          <w:szCs w:val="24"/>
        </w:rPr>
        <w:tab/>
        <w:t xml:space="preserve">Анекс VIII се изменува во согласност со Анекс V кон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w:t>
      </w:r>
    </w:p>
    <w:p w14:paraId="459E356C" w14:textId="77777777" w:rsidR="00330A3B" w:rsidRPr="00D779B0" w:rsidRDefault="006D29A5" w:rsidP="00063AA1">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t>Член 2</w:t>
      </w:r>
    </w:p>
    <w:p w14:paraId="6174510A"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Регулативата (ЕУ) бр. 965/2012 се изменува како што следува:</w:t>
      </w:r>
    </w:p>
    <w:p w14:paraId="4655E08C" w14:textId="6C319DE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Анекс III (Дел-ORO) се изменува во согласност со Анекс VI кон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w:t>
      </w:r>
    </w:p>
    <w:p w14:paraId="6794349F" w14:textId="4682E1C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(2)</w:t>
      </w:r>
      <w:r w:rsidRPr="00D779B0">
        <w:rPr>
          <w:rFonts w:ascii="Times New Roman" w:hAnsi="Times New Roman" w:cs="Times New Roman"/>
          <w:color w:val="000000"/>
          <w:sz w:val="24"/>
          <w:szCs w:val="24"/>
        </w:rPr>
        <w:tab/>
        <w:t xml:space="preserve">Анекс V (Дел-SPA) се изменува во согласност со Анекс VII кон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w:t>
      </w:r>
    </w:p>
    <w:p w14:paraId="3BB3A8D4" w14:textId="77777777" w:rsidR="00330A3B" w:rsidRPr="00D779B0" w:rsidRDefault="006D29A5" w:rsidP="001B103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i/>
          <w:iCs/>
          <w:color w:val="000000"/>
          <w:sz w:val="24"/>
          <w:szCs w:val="24"/>
        </w:rPr>
        <w:t>Член 3</w:t>
      </w:r>
    </w:p>
    <w:p w14:paraId="7660AA86" w14:textId="55D1964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Оваа регулатива влегува во сила на дваесеттиот ден </w:t>
      </w:r>
      <w:r w:rsidR="00C74D50" w:rsidRPr="00D779B0">
        <w:rPr>
          <w:rFonts w:ascii="Times New Roman" w:hAnsi="Times New Roman" w:cs="Times New Roman"/>
          <w:color w:val="000000"/>
          <w:sz w:val="24"/>
          <w:szCs w:val="24"/>
        </w:rPr>
        <w:t xml:space="preserve">од денот </w:t>
      </w:r>
      <w:r w:rsidR="00C74D50">
        <w:rPr>
          <w:rFonts w:ascii="Times New Roman" w:hAnsi="Times New Roman" w:cs="Times New Roman"/>
          <w:color w:val="000000"/>
          <w:sz w:val="24"/>
          <w:szCs w:val="24"/>
        </w:rPr>
        <w:t xml:space="preserve">на </w:t>
      </w:r>
      <w:r w:rsidRPr="00D779B0">
        <w:rPr>
          <w:rFonts w:ascii="Times New Roman" w:hAnsi="Times New Roman" w:cs="Times New Roman"/>
          <w:color w:val="000000"/>
          <w:sz w:val="24"/>
          <w:szCs w:val="24"/>
        </w:rPr>
        <w:t xml:space="preserve">нејзиното објавување во </w:t>
      </w:r>
      <w:r w:rsidRPr="00D779B0">
        <w:rPr>
          <w:rFonts w:ascii="Times New Roman" w:hAnsi="Times New Roman" w:cs="Times New Roman"/>
          <w:i/>
          <w:iCs/>
          <w:color w:val="000000"/>
          <w:sz w:val="24"/>
          <w:szCs w:val="24"/>
        </w:rPr>
        <w:t>Службениот весник на Европската Унија</w:t>
      </w:r>
      <w:r w:rsidRPr="00D779B0">
        <w:rPr>
          <w:rFonts w:ascii="Times New Roman" w:hAnsi="Times New Roman" w:cs="Times New Roman"/>
          <w:color w:val="000000"/>
          <w:sz w:val="24"/>
          <w:szCs w:val="24"/>
        </w:rPr>
        <w:t>.</w:t>
      </w:r>
    </w:p>
    <w:p w14:paraId="757ACAE4"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Следниве измени се применуваат од 13 февруари 2025 година:</w:t>
      </w:r>
    </w:p>
    <w:p w14:paraId="02C6828B" w14:textId="41C0732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точка 7 од Анекс I;</w:t>
      </w:r>
    </w:p>
    <w:p w14:paraId="148ACFC3" w14:textId="2C97C56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Анекс II;</w:t>
      </w:r>
    </w:p>
    <w:p w14:paraId="2C512756" w14:textId="391773B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точки од (6) до (18), (22) и (23) од Анекс III;</w:t>
      </w:r>
    </w:p>
    <w:p w14:paraId="405EE143" w14:textId="64FE627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точки од (2) до (9) од Анекс IV;</w:t>
      </w:r>
    </w:p>
    <w:p w14:paraId="12F4AB13" w14:textId="58561A6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Pr="00D779B0">
        <w:rPr>
          <w:rFonts w:ascii="Times New Roman" w:hAnsi="Times New Roman" w:cs="Times New Roman"/>
          <w:color w:val="000000"/>
          <w:sz w:val="24"/>
          <w:szCs w:val="24"/>
        </w:rPr>
        <w:tab/>
        <w:t>Анекс VII.</w:t>
      </w:r>
    </w:p>
    <w:p w14:paraId="364E2C8C" w14:textId="77777777" w:rsidR="00C74D5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Оваа регулатива е целосно обврзувачка и директно применлива во сите земји членки.</w:t>
      </w:r>
    </w:p>
    <w:p w14:paraId="4F53A250" w14:textId="647EE082" w:rsidR="00330A3B"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Брисел, 24 јули 2024 година.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0"/>
      </w:tblGrid>
      <w:tr w:rsidR="00063AA1" w:rsidRPr="00D779B0" w14:paraId="590E2C9C" w14:textId="77777777" w:rsidTr="00063AA1">
        <w:tc>
          <w:tcPr>
            <w:tcW w:w="4150" w:type="dxa"/>
          </w:tcPr>
          <w:p w14:paraId="30A2C413" w14:textId="77777777" w:rsidR="00063AA1" w:rsidRPr="00D779B0" w:rsidRDefault="00063AA1" w:rsidP="00E80582">
            <w:pPr>
              <w:spacing w:before="120" w:after="120"/>
              <w:jc w:val="both"/>
              <w:rPr>
                <w:rFonts w:ascii="Times New Roman" w:hAnsi="Times New Roman" w:cs="Times New Roman"/>
                <w:sz w:val="24"/>
                <w:szCs w:val="24"/>
                <w:lang w:val="en-GB"/>
              </w:rPr>
            </w:pPr>
          </w:p>
        </w:tc>
        <w:tc>
          <w:tcPr>
            <w:tcW w:w="4150" w:type="dxa"/>
          </w:tcPr>
          <w:p w14:paraId="70AAFDB2" w14:textId="77777777" w:rsidR="00063AA1" w:rsidRPr="00D779B0" w:rsidRDefault="00063AA1" w:rsidP="00063AA1">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t>За Kомисијата</w:t>
            </w:r>
          </w:p>
          <w:p w14:paraId="6AD39BDC" w14:textId="7277B656" w:rsidR="00063AA1" w:rsidRPr="00D779B0" w:rsidRDefault="00063AA1" w:rsidP="00063AA1">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t>Претседател</w:t>
            </w:r>
          </w:p>
          <w:p w14:paraId="6F48DB33" w14:textId="76F4028D" w:rsidR="00063AA1" w:rsidRPr="00D779B0" w:rsidRDefault="00063AA1" w:rsidP="00063AA1">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Урсула ФОН ДЕР ЛАЈЕН</w:t>
            </w:r>
          </w:p>
        </w:tc>
      </w:tr>
    </w:tbl>
    <w:p w14:paraId="02E991F3" w14:textId="77777777" w:rsidR="00063AA1" w:rsidRPr="00D779B0" w:rsidRDefault="00063AA1" w:rsidP="00063AA1">
      <w:pPr>
        <w:widowControl/>
        <w:autoSpaceDE/>
        <w:autoSpaceDN/>
        <w:adjustRightInd/>
        <w:spacing w:after="160" w:line="259" w:lineRule="auto"/>
        <w:jc w:val="both"/>
        <w:rPr>
          <w:rFonts w:ascii="Times New Roman" w:hAnsi="Times New Roman" w:cs="Times New Roman"/>
          <w:color w:val="000000"/>
          <w:sz w:val="24"/>
          <w:szCs w:val="24"/>
        </w:rPr>
      </w:pPr>
      <w:r w:rsidRPr="00D779B0">
        <w:rPr>
          <w:rFonts w:ascii="Times New Roman" w:hAnsi="Times New Roman" w:cs="Times New Roman"/>
          <w:sz w:val="24"/>
          <w:szCs w:val="24"/>
        </w:rPr>
        <w:br w:type="page"/>
      </w:r>
    </w:p>
    <w:p w14:paraId="2031743E" w14:textId="1DEC0787" w:rsidR="00330A3B" w:rsidRPr="00D779B0" w:rsidRDefault="006D29A5" w:rsidP="00063AA1">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lastRenderedPageBreak/>
        <w:t>АНЕКС I</w:t>
      </w:r>
    </w:p>
    <w:p w14:paraId="24453A47" w14:textId="759AFCA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 xml:space="preserve">Измени на Анекс I (Дел-FCL) </w:t>
      </w:r>
      <w:r w:rsidR="00D45155">
        <w:rPr>
          <w:rFonts w:ascii="Times New Roman" w:hAnsi="Times New Roman" w:cs="Times New Roman"/>
          <w:b/>
          <w:color w:val="000000"/>
          <w:sz w:val="24"/>
          <w:szCs w:val="24"/>
        </w:rPr>
        <w:t>кон Регулативата</w:t>
      </w:r>
      <w:r w:rsidRPr="00D779B0">
        <w:rPr>
          <w:rFonts w:ascii="Times New Roman" w:hAnsi="Times New Roman" w:cs="Times New Roman"/>
          <w:b/>
          <w:color w:val="000000"/>
          <w:sz w:val="24"/>
          <w:szCs w:val="24"/>
        </w:rPr>
        <w:t xml:space="preserve"> (ЕУ) бр. 1178/2011</w:t>
      </w:r>
    </w:p>
    <w:p w14:paraId="0ED981C6"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Анекс I се изменува како што следува:</w:t>
      </w:r>
    </w:p>
    <w:p w14:paraId="49544373" w14:textId="6245D5E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во точка FCL.015, точка (д) се заменува со следново:</w:t>
      </w:r>
    </w:p>
    <w:p w14:paraId="40AC674C" w14:textId="55DB4C7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„(д)</w:t>
      </w:r>
      <w:r w:rsidRPr="00D779B0">
        <w:rPr>
          <w:rFonts w:ascii="Times New Roman" w:hAnsi="Times New Roman" w:cs="Times New Roman"/>
          <w:color w:val="000000"/>
          <w:sz w:val="24"/>
          <w:szCs w:val="24"/>
        </w:rPr>
        <w:tab/>
        <w:t xml:space="preserve">Имателот на дозвола што е издадена во согласност со </w:t>
      </w:r>
      <w:r w:rsidR="00C74D50">
        <w:rPr>
          <w:rFonts w:ascii="Times New Roman" w:hAnsi="Times New Roman" w:cs="Times New Roman"/>
          <w:color w:val="000000"/>
          <w:sz w:val="24"/>
          <w:szCs w:val="24"/>
        </w:rPr>
        <w:t>овој анекс</w:t>
      </w:r>
      <w:r w:rsidRPr="00D779B0">
        <w:rPr>
          <w:rFonts w:ascii="Times New Roman" w:hAnsi="Times New Roman" w:cs="Times New Roman"/>
          <w:color w:val="000000"/>
          <w:sz w:val="24"/>
          <w:szCs w:val="24"/>
        </w:rPr>
        <w:t xml:space="preserve"> (Дел-FCL) може да поднесе барање до надлежниот орган назначен од друга земја членка за промена на надлежниот орган во врска со сите свои дозволи кои ги поседува, како што е наведено во точка (г). Имателите на уверение за здравствена способност издадено во согласност со Анекс IV (Дел-МЕД) кои сè уште немаат дозвола за пилот имаат право да поднесат такво барање за промена на надлежен орган во врска со сите медицински досиеја што ги води надлежниот орган.“;</w:t>
      </w:r>
    </w:p>
    <w:p w14:paraId="3103A441" w14:textId="3A3E575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во точка FCL.020, точка (а) се заменува со следново:</w:t>
      </w:r>
    </w:p>
    <w:p w14:paraId="73C11CB0" w14:textId="3BEFAB8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Ученик-пилот не лета самостојно освен ако не ги исполнува следниве услови:</w:t>
      </w:r>
    </w:p>
    <w:p w14:paraId="52768C4A" w14:textId="4FFADC0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има одобрение за тоа и е под надзор на инструктор по летање;</w:t>
      </w:r>
    </w:p>
    <w:p w14:paraId="28F0D291" w14:textId="7AF7E03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пред да го добие одобрението наведено во точка (1), се стекнал со компетентност за безбедна операција на соодветниот воздухоплов за време на планираниот самостоен лет.“;</w:t>
      </w:r>
    </w:p>
    <w:p w14:paraId="39CADCCB" w14:textId="379EE85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точка FCL.025 се изменува како што следува:</w:t>
      </w:r>
    </w:p>
    <w:p w14:paraId="3685229A" w14:textId="7B1C70D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во точка (б), точките (4) и (5) се заменуваат со следново:</w:t>
      </w:r>
    </w:p>
    <w:p w14:paraId="2C8D3308" w14:textId="5F808F9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 xml:space="preserve">Доколку кандидатите за издавање на дозвола за пилот на лесен воздухоплов (LAPL), дозвола за приватен пилот (дозвола), или основно овластување за летање по инструменти (BIR) не успеале да положат еден од испитите за теоретско знаење во четири обиди или не успеале да ги положат сите испити во рамките на периодот </w:t>
      </w:r>
      <w:r w:rsidR="00D33DE6">
        <w:rPr>
          <w:rFonts w:ascii="Times New Roman" w:hAnsi="Times New Roman" w:cs="Times New Roman"/>
          <w:color w:val="000000"/>
          <w:sz w:val="24"/>
          <w:szCs w:val="24"/>
        </w:rPr>
        <w:t>споменат</w:t>
      </w:r>
      <w:r w:rsidR="00D33DE6"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во точка (б)(2), тие повторно го полагаат целокупниот збир на испити за теоретско знаење.“;</w:t>
      </w:r>
    </w:p>
    <w:p w14:paraId="3FEB7F84" w14:textId="2B77299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Pr="00D779B0">
        <w:rPr>
          <w:rFonts w:ascii="Times New Roman" w:hAnsi="Times New Roman" w:cs="Times New Roman"/>
          <w:color w:val="000000"/>
          <w:sz w:val="24"/>
          <w:szCs w:val="24"/>
        </w:rPr>
        <w:tab/>
        <w:t xml:space="preserve">Пред повторно полагање </w:t>
      </w:r>
      <w:r w:rsidR="00D45155">
        <w:rPr>
          <w:rFonts w:ascii="Times New Roman" w:hAnsi="Times New Roman" w:cs="Times New Roman"/>
          <w:color w:val="000000"/>
          <w:sz w:val="24"/>
          <w:szCs w:val="24"/>
        </w:rPr>
        <w:t xml:space="preserve">на </w:t>
      </w:r>
      <w:r w:rsidRPr="00D779B0">
        <w:rPr>
          <w:rFonts w:ascii="Times New Roman" w:hAnsi="Times New Roman" w:cs="Times New Roman"/>
          <w:color w:val="000000"/>
          <w:sz w:val="24"/>
          <w:szCs w:val="24"/>
        </w:rPr>
        <w:t>целокупниот збир на испити за теоретско знаење, кандидатите поминуваат дополнителна обука во DTO или ATO. Обемот и времетраењето на потребната обука се утврдува од DTO или ATO, врз основа на потребите на кандидатите.“;</w:t>
      </w:r>
    </w:p>
    <w:p w14:paraId="4887BAFA" w14:textId="0C2A39A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во точка (в)(1), точка (ii) се заменува со следново:</w:t>
      </w:r>
    </w:p>
    <w:p w14:paraId="1A1CE25D" w14:textId="4D34D89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за издавање на дозвола за комерцијален пилот или дозвола за пилот на екипаж од повеќе членови или овластување за летање по инструменти (IR), за период од 36 месеци;“;</w:t>
      </w:r>
    </w:p>
    <w:p w14:paraId="6124BF95" w14:textId="46F6CAD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во точка FCL.035(б), се додава следнава точка (6):</w:t>
      </w:r>
    </w:p>
    <w:p w14:paraId="59D6A100" w14:textId="21C6FE2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„(6)</w:t>
      </w:r>
      <w:r w:rsidRPr="00D779B0">
        <w:rPr>
          <w:rFonts w:ascii="Times New Roman" w:hAnsi="Times New Roman" w:cs="Times New Roman"/>
          <w:color w:val="000000"/>
          <w:sz w:val="24"/>
          <w:szCs w:val="24"/>
        </w:rPr>
        <w:tab/>
        <w:t xml:space="preserve">Кога Додаток 1 вклучува прифаќање за предметот Комуникации, се </w:t>
      </w:r>
      <w:r w:rsidRPr="00D779B0">
        <w:rPr>
          <w:rFonts w:ascii="Times New Roman" w:hAnsi="Times New Roman" w:cs="Times New Roman"/>
          <w:color w:val="000000"/>
          <w:sz w:val="24"/>
          <w:szCs w:val="24"/>
        </w:rPr>
        <w:lastRenderedPageBreak/>
        <w:t>применува сѐ од следново:</w:t>
      </w:r>
    </w:p>
    <w:p w14:paraId="7837FC31" w14:textId="62123D3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таквото признавање се одобрува само за обука и испит за таа тема, доколку кандидатите, во текот на</w:t>
      </w:r>
      <w:r w:rsidR="00D45155">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претходните испити за теоретско знаење во согласност со точка ARA.FCL.300 од Анекс VI, го завршиле или предметот Комуникации или двата предмети Комуникации по VFR и Комуникации по IFR;</w:t>
      </w:r>
    </w:p>
    <w:p w14:paraId="16D2DBD7" w14:textId="3D8ABE9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кандидатите кои го завршиле или предметот Комуникации по VFR или само предметот Комуникации по IFR завршуваат оспособување за теоретско знаење од предметот Комуникации, чие времетраење може да се намали врз основа на процена на кандидатите од ATO. За кандидатите кои го завршиле предметот Комуникации по VFR, аспектите кои се чисто во врска со комуникациите по VFR може да се намалат. За кандидатите кои го завршиле предметот Комуникации по IFR, аспектите кои се чисто во врска со комуникациите по IFR може да се намалат. Во секој случај, кандидатите треба да го полагаат испитот за теоретско знаење по предметот Комуникации.“;</w:t>
      </w:r>
    </w:p>
    <w:p w14:paraId="32487A48" w14:textId="567C000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Pr="00D779B0">
        <w:rPr>
          <w:rFonts w:ascii="Times New Roman" w:hAnsi="Times New Roman" w:cs="Times New Roman"/>
          <w:color w:val="000000"/>
          <w:sz w:val="24"/>
          <w:szCs w:val="24"/>
        </w:rPr>
        <w:tab/>
        <w:t>во точка FCL.045, точка (г) се заменува со следново:</w:t>
      </w:r>
    </w:p>
    <w:p w14:paraId="2187F852" w14:textId="5B11E82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Ученик-пилот треба да носи на сите самостојни летови на маршрута доказ за одобрението што се бара со точка FCL.020(а)(1).“;</w:t>
      </w:r>
    </w:p>
    <w:p w14:paraId="784E254C" w14:textId="0E83AE6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(6)</w:t>
      </w:r>
      <w:r w:rsidRPr="00D779B0">
        <w:rPr>
          <w:rFonts w:ascii="Times New Roman" w:hAnsi="Times New Roman" w:cs="Times New Roman"/>
          <w:color w:val="000000"/>
          <w:sz w:val="24"/>
          <w:szCs w:val="24"/>
        </w:rPr>
        <w:tab/>
        <w:t>во точка FCL.060(б), точка (3) се заменува со следново:</w:t>
      </w:r>
    </w:p>
    <w:p w14:paraId="68F9C7B2" w14:textId="75EBC79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како копилот на крстарење, освен ако тој или таа не завршил, во претходните 90 дена, едно од следново:</w:t>
      </w:r>
    </w:p>
    <w:p w14:paraId="516EF7DE" w14:textId="70C4711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три сектори како копилот на крстарење на релевантниот тип;</w:t>
      </w:r>
    </w:p>
    <w:p w14:paraId="2927D152" w14:textId="3B33DCC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обука чија содржина ја утврдува операторот и која опфаќа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три сектори како копилот на крстарење со FSTD што го претставува релевантниот тип;</w:t>
      </w:r>
    </w:p>
    <w:p w14:paraId="7796102D" w14:textId="4FA941D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 xml:space="preserve">периодична обука во согласност со Поддел FC (ORO.FC) од Анекс III (Дел-ORO)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965/2012;</w:t>
      </w:r>
    </w:p>
    <w:p w14:paraId="52F782EF" w14:textId="2292268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(iv)</w:t>
      </w:r>
      <w:r w:rsidRPr="00D779B0">
        <w:rPr>
          <w:rFonts w:ascii="Times New Roman" w:hAnsi="Times New Roman" w:cs="Times New Roman"/>
          <w:color w:val="000000"/>
          <w:sz w:val="24"/>
          <w:szCs w:val="24"/>
        </w:rPr>
        <w:tab/>
        <w:t>проверка на стручноста копилотите на крстарење во согласност со Додаток 9.“;</w:t>
      </w:r>
    </w:p>
    <w:p w14:paraId="7C66FCF0" w14:textId="3645E78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(7)</w:t>
      </w:r>
      <w:r w:rsidRPr="00D779B0">
        <w:rPr>
          <w:rFonts w:ascii="Times New Roman" w:hAnsi="Times New Roman" w:cs="Times New Roman"/>
          <w:color w:val="000000"/>
          <w:sz w:val="24"/>
          <w:szCs w:val="24"/>
        </w:rPr>
        <w:tab/>
        <w:t>во точка FCL.065, точка (а) се заменува со следново:</w:t>
      </w:r>
    </w:p>
    <w:p w14:paraId="16027588" w14:textId="05CF9787" w:rsidR="00330A3B" w:rsidRPr="00D779B0" w:rsidRDefault="00D45155" w:rsidP="00E80582">
      <w:pPr>
        <w:shd w:val="clear" w:color="auto" w:fill="FFFFFF"/>
        <w:spacing w:before="120" w:after="120"/>
        <w:jc w:val="both"/>
        <w:rPr>
          <w:rFonts w:ascii="Times New Roman" w:hAnsi="Times New Roman" w:cs="Times New Roman"/>
          <w:sz w:val="24"/>
          <w:szCs w:val="24"/>
        </w:rPr>
      </w:pPr>
      <w:r>
        <w:rPr>
          <w:rFonts w:ascii="Times New Roman" w:hAnsi="Times New Roman" w:cs="Times New Roman"/>
          <w:color w:val="000000"/>
          <w:sz w:val="24"/>
          <w:szCs w:val="24"/>
        </w:rPr>
        <w:t>„</w:t>
      </w:r>
      <w:r w:rsidR="006D29A5" w:rsidRPr="00D779B0">
        <w:rPr>
          <w:rFonts w:ascii="Times New Roman" w:hAnsi="Times New Roman" w:cs="Times New Roman"/>
          <w:color w:val="000000"/>
          <w:sz w:val="24"/>
          <w:szCs w:val="24"/>
        </w:rPr>
        <w:t>(a)</w:t>
      </w:r>
      <w:r w:rsidR="006D29A5" w:rsidRPr="00D779B0">
        <w:rPr>
          <w:rFonts w:ascii="Times New Roman" w:hAnsi="Times New Roman" w:cs="Times New Roman"/>
          <w:color w:val="000000"/>
          <w:sz w:val="24"/>
          <w:szCs w:val="24"/>
        </w:rPr>
        <w:tab/>
        <w:t xml:space="preserve">Возраст 60–64. Авиони и хеликоптери. Имателот на дозвола за пилот кој наполнил 60 години не дејствува во својство на пилот на воздухоплов ангажиран во комерцијален воздушен сообраќај освен како член на екипаж од повеќе пилоти. По пат на отстапување, таквите иматели имаат право да дејствуваат во својство на пилоти на воздухоплов ангажиран во операции на хеликоптерската медицинска служба за итна помош само со еден пилот во согласност со Регулативата (ЕУ) бр. 965/2012, под услов да ги исполнат важечките услови наведени за таа целта во таа регулатива и во Анекс IV (Дел-МЕД) кон </w:t>
      </w:r>
      <w:r w:rsidR="00C74D50">
        <w:rPr>
          <w:rFonts w:ascii="Times New Roman" w:hAnsi="Times New Roman" w:cs="Times New Roman"/>
          <w:color w:val="000000"/>
          <w:sz w:val="24"/>
          <w:szCs w:val="24"/>
        </w:rPr>
        <w:t>оваа регулатива</w:t>
      </w:r>
      <w:r w:rsidR="006D29A5" w:rsidRPr="00D779B0">
        <w:rPr>
          <w:rFonts w:ascii="Times New Roman" w:hAnsi="Times New Roman" w:cs="Times New Roman"/>
          <w:color w:val="000000"/>
          <w:sz w:val="24"/>
          <w:szCs w:val="24"/>
        </w:rPr>
        <w:t>.“;</w:t>
      </w:r>
    </w:p>
    <w:p w14:paraId="77639D12" w14:textId="135602A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(8)</w:t>
      </w:r>
      <w:r w:rsidRPr="00D779B0">
        <w:rPr>
          <w:rFonts w:ascii="Times New Roman" w:hAnsi="Times New Roman" w:cs="Times New Roman"/>
          <w:color w:val="000000"/>
          <w:sz w:val="24"/>
          <w:szCs w:val="24"/>
        </w:rPr>
        <w:tab/>
        <w:t>точка FCL.115 се заменува со следново:</w:t>
      </w:r>
    </w:p>
    <w:p w14:paraId="438DC45C"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lastRenderedPageBreak/>
        <w:t>FCL.115 LAPL – Курс за обука</w:t>
      </w:r>
    </w:p>
    <w:p w14:paraId="30B2CAF9" w14:textId="07F4DAA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00D45155">
        <w:rPr>
          <w:rFonts w:ascii="Times New Roman" w:hAnsi="Times New Roman" w:cs="Times New Roman"/>
          <w:color w:val="000000"/>
          <w:sz w:val="24"/>
          <w:szCs w:val="24"/>
        </w:rPr>
        <w:tab/>
      </w:r>
      <w:r w:rsidRPr="00D779B0">
        <w:rPr>
          <w:rFonts w:ascii="Times New Roman" w:hAnsi="Times New Roman" w:cs="Times New Roman"/>
          <w:color w:val="000000"/>
          <w:sz w:val="24"/>
          <w:szCs w:val="24"/>
        </w:rPr>
        <w:t>Кандидатите за LAPL завршуваат курс за обука во DTO или ATO. Тој курс за обука вклучува:</w:t>
      </w:r>
    </w:p>
    <w:p w14:paraId="56218C38" w14:textId="795E71C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теоретско знаење и оспособување за летање соодветни на правата на LAPL за кои се поднесува барањето;</w:t>
      </w:r>
    </w:p>
    <w:p w14:paraId="600D3169" w14:textId="5776075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дополнително, за LAPL(H), задолжителните елементи за обука за релевантниот тип на хеликоптер како што е дефинирано во податоците за оперативна соодветност утврдени во согласност со Анекс I (Дел 21)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748/2012.</w:t>
      </w:r>
    </w:p>
    <w:p w14:paraId="752D66A7" w14:textId="089226D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Оспособување за теоретско знаење и оспособување за летање може да се заврши во DTO или во ATO различна од онаа каде што кандидатите ја започнале својата обука.</w:t>
      </w:r>
    </w:p>
    <w:p w14:paraId="69C808E1" w14:textId="6605B04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За обуката за правото за класа на SEP-авиони кои слетуваат на површината на водата, се земаат предвид елементите од Оддел Б (Одредени услови за категоријата на авиони), точка 7 (Овластувања за класа — вода), од Додаток 9.</w:t>
      </w:r>
    </w:p>
    <w:p w14:paraId="3A099574" w14:textId="21B48A0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На кандидатите за LAPL може да им се признае претходната обука за PPL што ја поминале во согласност со Поддел В во истата категорија на воздухоплови, врз основа на процена на кандидатот од ATO или DTO која е одговорна за курсот за обука за LAPL. Во секој случај, кандидатите ги исполнуваат условите за искуство наведени во точките FCL.110.A(a) или FCL.110.H(a), како што е применливо.“;</w:t>
      </w:r>
    </w:p>
    <w:p w14:paraId="1CB74455" w14:textId="5DD37DC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(9)</w:t>
      </w:r>
      <w:r w:rsidRPr="00D779B0">
        <w:rPr>
          <w:rFonts w:ascii="Times New Roman" w:hAnsi="Times New Roman" w:cs="Times New Roman"/>
          <w:color w:val="000000"/>
          <w:sz w:val="24"/>
          <w:szCs w:val="24"/>
        </w:rPr>
        <w:tab/>
        <w:t>во точка FCL.105.A, точка (а) се заменува со следново:</w:t>
      </w:r>
    </w:p>
    <w:p w14:paraId="3DC52567" w14:textId="7E13CB8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r>
      <w:r w:rsidRPr="00D779B0">
        <w:rPr>
          <w:rFonts w:ascii="Times New Roman" w:hAnsi="Times New Roman" w:cs="Times New Roman"/>
          <w:i/>
          <w:iCs/>
          <w:color w:val="000000"/>
          <w:sz w:val="24"/>
          <w:szCs w:val="24"/>
        </w:rPr>
        <w:t>Права</w:t>
      </w:r>
    </w:p>
    <w:p w14:paraId="4F38C6EB"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Правата на имателот на LAPL за авиони се да дејствува во својство на PIC на SEP-авиони кои слетуваат на копно (SEP(копно)), SEP-авиони кои слетуваат на површината на водата (SEP(море)) или TMG со максимално одобрена маса на полетување од 2 000 kg или помала, што превезува најмногу три патници, така што во воздухопловот секогаш има најмногу 4 лица.“;</w:t>
      </w:r>
    </w:p>
    <w:p w14:paraId="503411CB" w14:textId="0347D1A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(10)</w:t>
      </w:r>
      <w:r w:rsidR="00D45155">
        <w:rPr>
          <w:rFonts w:ascii="Times New Roman" w:hAnsi="Times New Roman" w:cs="Times New Roman"/>
          <w:color w:val="000000"/>
          <w:sz w:val="24"/>
          <w:szCs w:val="24"/>
        </w:rPr>
        <w:tab/>
      </w:r>
      <w:r w:rsidRPr="00D779B0">
        <w:rPr>
          <w:rFonts w:ascii="Times New Roman" w:hAnsi="Times New Roman" w:cs="Times New Roman"/>
          <w:color w:val="000000"/>
          <w:sz w:val="24"/>
          <w:szCs w:val="24"/>
        </w:rPr>
        <w:t>во точка FCL.110.A, точка (в) се заменува со следново:</w:t>
      </w:r>
    </w:p>
    <w:p w14:paraId="789B6C37" w14:textId="6062FA5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Признавање. Кандидатите со претходно искуство како PIC може да им се признае во однос на условите од точка (а) под следниве услови:</w:t>
      </w:r>
    </w:p>
    <w:p w14:paraId="7D936127" w14:textId="6EB9589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за степенот на признавање одлучува DTO или ATO каде што пилотот го поминува курсот за обука, врз основа на приемна процена на летање, но во секој случај:</w:t>
      </w:r>
    </w:p>
    <w:p w14:paraId="1A031A05" w14:textId="170E465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не се надминува вкупното време на летање како PIC;</w:t>
      </w:r>
    </w:p>
    <w:p w14:paraId="0409E73F" w14:textId="04B6173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не надминува 50 % од часовите потребни во точка (а);</w:t>
      </w:r>
    </w:p>
    <w:p w14:paraId="0AF8FC8F" w14:textId="760381A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не се вклучуваат условите од точка (а)(2);</w:t>
      </w:r>
    </w:p>
    <w:p w14:paraId="0CFDB4EC" w14:textId="1E1FC09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(2)</w:t>
      </w:r>
      <w:r w:rsidRPr="00D779B0">
        <w:rPr>
          <w:rFonts w:ascii="Times New Roman" w:hAnsi="Times New Roman" w:cs="Times New Roman"/>
          <w:color w:val="000000"/>
          <w:sz w:val="24"/>
          <w:szCs w:val="24"/>
        </w:rPr>
        <w:tab/>
        <w:t xml:space="preserve">може да се земе предвид претходно искуство како PIC на воздухоплови кои се предмет на одлука на земја членка донесена во согласност со член 2(8), точки (а) или (в) од Регулативата (ЕУ) 2018/1139 или кои спаѓаат во рамките на опсегот на Анекс I </w:t>
      </w:r>
      <w:r w:rsidR="00D45155">
        <w:rPr>
          <w:rFonts w:ascii="Times New Roman" w:hAnsi="Times New Roman" w:cs="Times New Roman"/>
          <w:color w:val="000000"/>
          <w:sz w:val="24"/>
          <w:szCs w:val="24"/>
        </w:rPr>
        <w:t>кон таа регулатива</w:t>
      </w:r>
      <w:r w:rsidRPr="00D779B0">
        <w:rPr>
          <w:rFonts w:ascii="Times New Roman" w:hAnsi="Times New Roman" w:cs="Times New Roman"/>
          <w:color w:val="000000"/>
          <w:sz w:val="24"/>
          <w:szCs w:val="24"/>
        </w:rPr>
        <w:t xml:space="preserve">, под услов воздухопловите да одговараат на дефиницијата за соодветната категорија на воздухоплови според </w:t>
      </w:r>
      <w:r w:rsidR="00C74D50">
        <w:rPr>
          <w:rFonts w:ascii="Times New Roman" w:hAnsi="Times New Roman" w:cs="Times New Roman"/>
          <w:color w:val="000000"/>
          <w:sz w:val="24"/>
          <w:szCs w:val="24"/>
        </w:rPr>
        <w:t>овој анекс</w:t>
      </w:r>
      <w:r w:rsidRPr="00D779B0">
        <w:rPr>
          <w:rFonts w:ascii="Times New Roman" w:hAnsi="Times New Roman" w:cs="Times New Roman"/>
          <w:color w:val="000000"/>
          <w:sz w:val="24"/>
          <w:szCs w:val="24"/>
        </w:rPr>
        <w:t xml:space="preserve"> (Дел-FCL).“;</w:t>
      </w:r>
    </w:p>
    <w:p w14:paraId="7C127355" w14:textId="432CE81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(11)</w:t>
      </w:r>
      <w:r w:rsidR="00D45155">
        <w:rPr>
          <w:rFonts w:ascii="Times New Roman" w:hAnsi="Times New Roman" w:cs="Times New Roman"/>
          <w:color w:val="000000"/>
          <w:sz w:val="24"/>
          <w:szCs w:val="24"/>
        </w:rPr>
        <w:tab/>
      </w:r>
      <w:r w:rsidRPr="00D779B0">
        <w:rPr>
          <w:rFonts w:ascii="Times New Roman" w:hAnsi="Times New Roman" w:cs="Times New Roman"/>
          <w:color w:val="000000"/>
          <w:sz w:val="24"/>
          <w:szCs w:val="24"/>
        </w:rPr>
        <w:t>во точка FCL.135.A, точките (а) и (б) се заменуваат со следново:</w:t>
      </w:r>
    </w:p>
    <w:p w14:paraId="6ADF8D85" w14:textId="5A823E4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На кандидатите за LAPL(A) им се даваат права за класата на авиони или TMG за кои е положен тестот за вештини. Со цел да ги прошират нивните права за друга класа, имателите на LAPL(A) завршуваат, во таа друга класа, сѐ од следново:</w:t>
      </w:r>
    </w:p>
    <w:p w14:paraId="08C90D3F" w14:textId="2CD02514" w:rsidR="00063AA1"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3 часа оспособување за летање, </w:t>
      </w:r>
      <w:r w:rsidR="00C31894">
        <w:rPr>
          <w:rFonts w:ascii="Times New Roman" w:hAnsi="Times New Roman" w:cs="Times New Roman"/>
          <w:color w:val="000000"/>
          <w:sz w:val="24"/>
          <w:szCs w:val="24"/>
        </w:rPr>
        <w:t>вклучително и</w:t>
      </w:r>
      <w:r w:rsidRPr="00D779B0">
        <w:rPr>
          <w:rFonts w:ascii="Times New Roman" w:hAnsi="Times New Roman" w:cs="Times New Roman"/>
          <w:color w:val="000000"/>
          <w:sz w:val="24"/>
          <w:szCs w:val="24"/>
        </w:rPr>
        <w:t xml:space="preserve"> следново:</w:t>
      </w:r>
    </w:p>
    <w:p w14:paraId="1D451B15" w14:textId="7A5D6E3E" w:rsidR="00330A3B" w:rsidRPr="00D779B0" w:rsidRDefault="00D45155" w:rsidP="00E80582">
      <w:pPr>
        <w:shd w:val="clear" w:color="auto" w:fill="FFFFFF"/>
        <w:spacing w:before="120" w:after="120"/>
        <w:jc w:val="both"/>
        <w:rPr>
          <w:rFonts w:ascii="Times New Roman" w:hAnsi="Times New Roman" w:cs="Times New Roman"/>
          <w:sz w:val="24"/>
          <w:szCs w:val="24"/>
        </w:rPr>
      </w:pPr>
      <w:r w:rsidRPr="00996BD9">
        <w:rPr>
          <w:rFonts w:ascii="Times New Roman" w:hAnsi="Times New Roman" w:cs="Times New Roman"/>
          <w:color w:val="000000"/>
          <w:sz w:val="24"/>
          <w:szCs w:val="24"/>
        </w:rPr>
        <w:t>(i)</w:t>
      </w:r>
      <w:r w:rsidRPr="00996BD9">
        <w:rPr>
          <w:rFonts w:ascii="Times New Roman" w:hAnsi="Times New Roman" w:cs="Times New Roman"/>
          <w:color w:val="000000"/>
          <w:sz w:val="24"/>
          <w:szCs w:val="24"/>
        </w:rPr>
        <w:tab/>
      </w:r>
      <w:r w:rsidR="006D29A5" w:rsidRPr="00D779B0">
        <w:rPr>
          <w:rFonts w:ascii="Times New Roman" w:hAnsi="Times New Roman" w:cs="Times New Roman"/>
          <w:color w:val="000000"/>
          <w:sz w:val="24"/>
          <w:szCs w:val="24"/>
        </w:rPr>
        <w:t>10 полетувања и слетувања со инструктор;</w:t>
      </w:r>
    </w:p>
    <w:p w14:paraId="7F2CC087" w14:textId="0F8FC9AF" w:rsidR="00330A3B" w:rsidRPr="00D779B0" w:rsidRDefault="00D45155" w:rsidP="00E80582">
      <w:pPr>
        <w:shd w:val="clear" w:color="auto" w:fill="FFFFFF"/>
        <w:spacing w:before="120" w:after="120"/>
        <w:jc w:val="both"/>
        <w:rPr>
          <w:rFonts w:ascii="Times New Roman" w:hAnsi="Times New Roman" w:cs="Times New Roman"/>
          <w:sz w:val="24"/>
          <w:szCs w:val="24"/>
        </w:rPr>
      </w:pPr>
      <w:r w:rsidRPr="00996BD9">
        <w:rPr>
          <w:rFonts w:ascii="Times New Roman" w:hAnsi="Times New Roman" w:cs="Times New Roman"/>
          <w:color w:val="000000"/>
          <w:sz w:val="24"/>
          <w:szCs w:val="24"/>
        </w:rPr>
        <w:t>(ii)</w:t>
      </w:r>
      <w:r w:rsidRPr="00996BD9">
        <w:rPr>
          <w:rFonts w:ascii="Times New Roman" w:hAnsi="Times New Roman" w:cs="Times New Roman"/>
          <w:color w:val="000000"/>
          <w:sz w:val="24"/>
          <w:szCs w:val="24"/>
        </w:rPr>
        <w:tab/>
      </w:r>
      <w:r w:rsidR="006D29A5" w:rsidRPr="00D779B0">
        <w:rPr>
          <w:rFonts w:ascii="Times New Roman" w:hAnsi="Times New Roman" w:cs="Times New Roman"/>
          <w:color w:val="000000"/>
          <w:sz w:val="24"/>
          <w:szCs w:val="24"/>
        </w:rPr>
        <w:t>10 полетувања и слетувања под надзор на инструктор;</w:t>
      </w:r>
    </w:p>
    <w:p w14:paraId="72E2FB51" w14:textId="4002C14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тест за вештини за да се докаже соодветно ниво на практични вештини на новата класа. За време на тој тест за вештини, кандидатот исто така му докажува на испитувачот соодветно ниво на теоретско знаење за другата класа по следниве предмети:</w:t>
      </w:r>
    </w:p>
    <w:p w14:paraId="08D0516F" w14:textId="32CC109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Оперативни процедури;</w:t>
      </w:r>
    </w:p>
    <w:p w14:paraId="3AD0BE4E" w14:textId="5EA402D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Изведба и планирање на лет;</w:t>
      </w:r>
    </w:p>
    <w:p w14:paraId="75218BE7" w14:textId="320D6DB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Општо знаење за воздухоплови.</w:t>
      </w:r>
    </w:p>
    <w:p w14:paraId="23010765" w14:textId="482B33A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Со цел да се прошират правата за друга варијанта во рамките на класата, пилотот или поминува обука за разлики или се запознава со новата варијанта. Обуката за разлики се внесува во дневникот на пилотот или во еквивалентен запис и се потпишува од инструкторот. Кога се прошируваат правилата за класа на SEP-авиони на варијанта со друг тип на мотор наведен во член 2, точка (8в), обуката за разлики се состои од оспособување за летање со инструктор и оспособување за теоретско знаење, што ги вклучува, во однос на тој друг тип на мотор и поврзани системи на воздухоплови,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сите од следниве теми:</w:t>
      </w:r>
    </w:p>
    <w:p w14:paraId="79856583" w14:textId="5805BE5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Оперативни процедури;</w:t>
      </w:r>
    </w:p>
    <w:p w14:paraId="0D9438CC" w14:textId="179E1C1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Изведба и планирање на лет;</w:t>
      </w:r>
    </w:p>
    <w:p w14:paraId="0A53944C" w14:textId="1B3C68C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Општо знаење за воздухоплови.“;</w:t>
      </w:r>
    </w:p>
    <w:p w14:paraId="436CE533" w14:textId="0B6E747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(12)</w:t>
      </w:r>
      <w:r w:rsidRPr="00D779B0">
        <w:rPr>
          <w:rFonts w:ascii="Times New Roman" w:hAnsi="Times New Roman" w:cs="Times New Roman"/>
          <w:color w:val="000000"/>
          <w:sz w:val="24"/>
          <w:szCs w:val="24"/>
        </w:rPr>
        <w:tab/>
        <w:t>точка FCL.140.A се изменува како што следува:</w:t>
      </w:r>
    </w:p>
    <w:p w14:paraId="43A1BB35" w14:textId="644F56C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во точка (а), точка (1) се заменува со следново:</w:t>
      </w:r>
    </w:p>
    <w:p w14:paraId="2E97A663" w14:textId="0C2893E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имаат завршено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12 часа време на летање како PIC или летање со инструктор или самостојно под надзор на инструктор, </w:t>
      </w:r>
      <w:r w:rsidR="00C31894">
        <w:rPr>
          <w:rFonts w:ascii="Times New Roman" w:hAnsi="Times New Roman" w:cs="Times New Roman"/>
          <w:color w:val="000000"/>
          <w:sz w:val="24"/>
          <w:szCs w:val="24"/>
        </w:rPr>
        <w:t>вклучително и</w:t>
      </w:r>
      <w:r w:rsidRPr="00D779B0">
        <w:rPr>
          <w:rFonts w:ascii="Times New Roman" w:hAnsi="Times New Roman" w:cs="Times New Roman"/>
          <w:color w:val="000000"/>
          <w:sz w:val="24"/>
          <w:szCs w:val="24"/>
        </w:rPr>
        <w:t>:</w:t>
      </w:r>
    </w:p>
    <w:p w14:paraId="0AD6FE68" w14:textId="679983D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(i)</w:t>
      </w:r>
      <w:r w:rsidRPr="00D779B0">
        <w:rPr>
          <w:rFonts w:ascii="Times New Roman" w:hAnsi="Times New Roman" w:cs="Times New Roman"/>
          <w:color w:val="000000"/>
          <w:sz w:val="24"/>
          <w:szCs w:val="24"/>
        </w:rPr>
        <w:tab/>
        <w:t>12 полетувања и слетувања;</w:t>
      </w:r>
    </w:p>
    <w:p w14:paraId="74EA9878" w14:textId="0BBDC94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обука за обновување на знаењето од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1 час од вкупното време на летање со и со одобрение на инструктор кој ги избира оние вежби за летање што му овозможуваат на кандидатот да ја обнови неговата компетентност за безбедна операција на воздухопловот и применувајќи стандардни процедури и процедури за невообичаени ситуации и за опасни ситуации;“;</w:t>
      </w:r>
    </w:p>
    <w:p w14:paraId="66E838BD" w14:textId="3D87CE9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се додаваат следниве точки (в) и (г):</w:t>
      </w:r>
    </w:p>
    <w:p w14:paraId="75D5A251" w14:textId="595EFC1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 xml:space="preserve">Имателите на LAPL(A) со право за SEP-авиони кои, во согласност со точка FCL.135.A(b), ги прошириле нивните права за варијанта со различен тип на мотор наведен во член 2, точка (8в), доколку не летале со таа варијанта во претходните 2 години, завршуваат што </w:t>
      </w:r>
      <w:r w:rsidR="00D33DE6" w:rsidRPr="00D779B0">
        <w:rPr>
          <w:rFonts w:ascii="Times New Roman" w:hAnsi="Times New Roman" w:cs="Times New Roman"/>
          <w:color w:val="000000"/>
          <w:sz w:val="24"/>
          <w:szCs w:val="24"/>
        </w:rPr>
        <w:t xml:space="preserve">било </w:t>
      </w:r>
      <w:r w:rsidRPr="00D779B0">
        <w:rPr>
          <w:rFonts w:ascii="Times New Roman" w:hAnsi="Times New Roman" w:cs="Times New Roman"/>
          <w:color w:val="000000"/>
          <w:sz w:val="24"/>
          <w:szCs w:val="24"/>
        </w:rPr>
        <w:t>од следново во таа варијанта, пред да ги остварат нивните права во таа варијанта:</w:t>
      </w:r>
    </w:p>
    <w:p w14:paraId="1FC100B4" w14:textId="0DC42E3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дополнителна обука за разлики во согласност со точка FCL.135.A(б);</w:t>
      </w:r>
    </w:p>
    <w:p w14:paraId="4A44B5DC" w14:textId="213CBA1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проверка на стручноста;</w:t>
      </w:r>
    </w:p>
    <w:p w14:paraId="490182CD" w14:textId="2075EFF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обука за обновување на знаењето во согласност со точка FCL.140.A(a)(1)(ii).</w:t>
      </w:r>
    </w:p>
    <w:p w14:paraId="5A03D00F" w14:textId="2BF9068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00D45155">
        <w:rPr>
          <w:rFonts w:ascii="Times New Roman" w:hAnsi="Times New Roman" w:cs="Times New Roman"/>
          <w:color w:val="000000"/>
          <w:sz w:val="24"/>
          <w:szCs w:val="24"/>
        </w:rPr>
        <w:tab/>
      </w:r>
      <w:r w:rsidRPr="00D779B0">
        <w:rPr>
          <w:rFonts w:ascii="Times New Roman" w:hAnsi="Times New Roman" w:cs="Times New Roman"/>
          <w:color w:val="000000"/>
          <w:sz w:val="24"/>
          <w:szCs w:val="24"/>
        </w:rPr>
        <w:t>Летовите со инструктор, летовите под надзор наведени во воведната фраза од точка (а)(1), обуката за обновување на знаењето наведена во точка (а)(1)(ii) и точка (в)(3) и проверката на стручноста наведена во точка (а)(2) и точка (в)(2) се внесуваат во дневникот на пилотот или во еквивалентна евиденција и се потпишуваат од инструкторот или испитувачот, како што е применливо.“;</w:t>
      </w:r>
    </w:p>
    <w:p w14:paraId="5F51A444" w14:textId="45BCF8C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(13)</w:t>
      </w:r>
      <w:r w:rsidRPr="00D779B0">
        <w:rPr>
          <w:rFonts w:ascii="Times New Roman" w:hAnsi="Times New Roman" w:cs="Times New Roman"/>
          <w:color w:val="000000"/>
          <w:sz w:val="24"/>
          <w:szCs w:val="24"/>
        </w:rPr>
        <w:tab/>
        <w:t>во точка FCL.110.H, точка (б) се заменува со следново:</w:t>
      </w:r>
    </w:p>
    <w:p w14:paraId="5A17B638" w14:textId="7504E7B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Признавање. Кандидатите со претходно искуство како PIC може да им се признае во однос на условите од точка (а) под следниве услови:</w:t>
      </w:r>
    </w:p>
    <w:p w14:paraId="5AB6634D" w14:textId="4A9D402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за степенот на признавање одлучува DTO или ATO каде што пилотот го поминува курсот за обука, врз основа на приемна процена на летање, но во секој случај:</w:t>
      </w:r>
    </w:p>
    <w:p w14:paraId="220C5C76" w14:textId="1E9A51D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не се надминува вкупното време на летање како PIC;</w:t>
      </w:r>
    </w:p>
    <w:p w14:paraId="4F43EC63" w14:textId="2611927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не надминува 50 % од часовите потребни во точка (а);</w:t>
      </w:r>
    </w:p>
    <w:p w14:paraId="7BD083C7" w14:textId="523705F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не се вклучуваат условите од точка (а)(2);</w:t>
      </w:r>
    </w:p>
    <w:p w14:paraId="095C6621" w14:textId="6016ED3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може да се земе предвид претходно искуство како PIC на воздухоплови кои се предмет на одлука на земја членка донесена во согласност со член 2(8), точки (б) или (в) од Регулативата (ЕУ) 2018/1139 или кои спаѓаат во рамките на опсегот на Анекс I </w:t>
      </w:r>
      <w:r w:rsidR="00D45155">
        <w:rPr>
          <w:rFonts w:ascii="Times New Roman" w:hAnsi="Times New Roman" w:cs="Times New Roman"/>
          <w:color w:val="000000"/>
          <w:sz w:val="24"/>
          <w:szCs w:val="24"/>
        </w:rPr>
        <w:t>кон таа регулатива</w:t>
      </w:r>
      <w:r w:rsidRPr="00D779B0">
        <w:rPr>
          <w:rFonts w:ascii="Times New Roman" w:hAnsi="Times New Roman" w:cs="Times New Roman"/>
          <w:color w:val="000000"/>
          <w:sz w:val="24"/>
          <w:szCs w:val="24"/>
        </w:rPr>
        <w:t xml:space="preserve">, под услов воздухопловите да одговараат на дефиницијата за категоријата на хеликоптери според </w:t>
      </w:r>
      <w:r w:rsidR="00C74D50">
        <w:rPr>
          <w:rFonts w:ascii="Times New Roman" w:hAnsi="Times New Roman" w:cs="Times New Roman"/>
          <w:color w:val="000000"/>
          <w:sz w:val="24"/>
          <w:szCs w:val="24"/>
        </w:rPr>
        <w:t>овој анекс</w:t>
      </w:r>
      <w:r w:rsidRPr="00D779B0">
        <w:rPr>
          <w:rFonts w:ascii="Times New Roman" w:hAnsi="Times New Roman" w:cs="Times New Roman"/>
          <w:color w:val="000000"/>
          <w:sz w:val="24"/>
          <w:szCs w:val="24"/>
        </w:rPr>
        <w:t xml:space="preserve"> (Дел-FCL).“;</w:t>
      </w:r>
    </w:p>
    <w:p w14:paraId="38C6A4C7" w14:textId="6A98031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(14)</w:t>
      </w:r>
      <w:r w:rsidR="00D45155">
        <w:rPr>
          <w:rFonts w:ascii="Times New Roman" w:hAnsi="Times New Roman" w:cs="Times New Roman"/>
          <w:color w:val="000000"/>
          <w:sz w:val="24"/>
          <w:szCs w:val="24"/>
        </w:rPr>
        <w:tab/>
      </w:r>
      <w:r w:rsidRPr="00D779B0">
        <w:rPr>
          <w:rFonts w:ascii="Times New Roman" w:hAnsi="Times New Roman" w:cs="Times New Roman"/>
          <w:color w:val="000000"/>
          <w:sz w:val="24"/>
          <w:szCs w:val="24"/>
        </w:rPr>
        <w:t>во точка FCL.135.H, точките (а) и (б) се заменуваат со следново:</w:t>
      </w:r>
    </w:p>
    <w:p w14:paraId="37AC4740" w14:textId="50C9EBC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„(а)</w:t>
      </w:r>
      <w:r w:rsidRPr="00D779B0">
        <w:rPr>
          <w:rFonts w:ascii="Times New Roman" w:hAnsi="Times New Roman" w:cs="Times New Roman"/>
          <w:color w:val="000000"/>
          <w:sz w:val="24"/>
          <w:szCs w:val="24"/>
        </w:rPr>
        <w:tab/>
        <w:t>На кандидатите за LAPL(H) им се даваат права за конкретниот тип на хеликоптер за кој е положен тестот за вештини. Со цел да ги прошират нивните права за друг тип на хеликоптер, имателите на LAPL(H) завршуваат, во тој друг тип, сѐ од следново:</w:t>
      </w:r>
    </w:p>
    <w:p w14:paraId="67363DBC" w14:textId="44D258A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освен ако не е поинаку наведено во податоците за оперативна соодветност утврдени во согласност со Анекс I (Дел 21)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748/2012,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5 часа оспособување за летање, </w:t>
      </w:r>
      <w:r w:rsidR="00C31894">
        <w:rPr>
          <w:rFonts w:ascii="Times New Roman" w:hAnsi="Times New Roman" w:cs="Times New Roman"/>
          <w:color w:val="000000"/>
          <w:sz w:val="24"/>
          <w:szCs w:val="24"/>
        </w:rPr>
        <w:t>вклучително и</w:t>
      </w:r>
      <w:r w:rsidRPr="00D779B0">
        <w:rPr>
          <w:rFonts w:ascii="Times New Roman" w:hAnsi="Times New Roman" w:cs="Times New Roman"/>
          <w:color w:val="000000"/>
          <w:sz w:val="24"/>
          <w:szCs w:val="24"/>
        </w:rPr>
        <w:t>:</w:t>
      </w:r>
    </w:p>
    <w:p w14:paraId="26EB4D2F" w14:textId="54A04D8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 xml:space="preserve">15 полетувања, </w:t>
      </w:r>
      <w:r w:rsidR="004B53AD" w:rsidRPr="00D779B0">
        <w:rPr>
          <w:rFonts w:ascii="Times New Roman" w:hAnsi="Times New Roman" w:cs="Times New Roman"/>
          <w:color w:val="000000"/>
          <w:sz w:val="24"/>
          <w:szCs w:val="24"/>
        </w:rPr>
        <w:t>приоди</w:t>
      </w:r>
      <w:r w:rsidRPr="00D779B0">
        <w:rPr>
          <w:rFonts w:ascii="Times New Roman" w:hAnsi="Times New Roman" w:cs="Times New Roman"/>
          <w:color w:val="000000"/>
          <w:sz w:val="24"/>
          <w:szCs w:val="24"/>
        </w:rPr>
        <w:t xml:space="preserve"> и слетувања со инструктор;</w:t>
      </w:r>
    </w:p>
    <w:p w14:paraId="2BFCCF87" w14:textId="24CBBAE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15 самостојни полетувања, </w:t>
      </w:r>
      <w:r w:rsidR="004B53AD" w:rsidRPr="00D779B0">
        <w:rPr>
          <w:rFonts w:ascii="Times New Roman" w:hAnsi="Times New Roman" w:cs="Times New Roman"/>
          <w:color w:val="000000"/>
          <w:sz w:val="24"/>
          <w:szCs w:val="24"/>
        </w:rPr>
        <w:t>приоди</w:t>
      </w:r>
      <w:r w:rsidRPr="00D779B0">
        <w:rPr>
          <w:rFonts w:ascii="Times New Roman" w:hAnsi="Times New Roman" w:cs="Times New Roman"/>
          <w:color w:val="000000"/>
          <w:sz w:val="24"/>
          <w:szCs w:val="24"/>
        </w:rPr>
        <w:t xml:space="preserve"> и слетувања под надзор на инструктор;</w:t>
      </w:r>
    </w:p>
    <w:p w14:paraId="1CB24483" w14:textId="1B6F050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тест за вештини за да се докаже соодветно ниво на практични вештини на новиот тип. За време на тој тест за вештини, кандидатот исто така му докажува на испитувачот соодветно ниво на теоретско знаење за другиот тип по следниве предмети:</w:t>
      </w:r>
    </w:p>
    <w:p w14:paraId="7DFB2097" w14:textId="5EE9D06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Оперативни процедури,</w:t>
      </w:r>
    </w:p>
    <w:p w14:paraId="261E3A3E" w14:textId="2BA70E3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Изведба и планирање на лет,</w:t>
      </w:r>
    </w:p>
    <w:p w14:paraId="70AD19E3" w14:textId="76DDC55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Општо знаење за воздухоплови.</w:t>
      </w:r>
    </w:p>
    <w:p w14:paraId="3BC7109A" w14:textId="36CD9E2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Пред имателот на LAPL(H) да може да ги оствари правата од дозволата за друга варијанта на хеликоптер различна од онаа што се користела за тестот за вештини, пилотот поминува обука за разлики или се запознава со новата варијанта, како што е утврдено во податоците за оперативна соодветност утврдени во согласност со Анекс I (Дел 21)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748/2012. Обуката за разлики се внесува во дневникот на пилотот или во еквивалентен запис и се потпишува од инструкторот.</w:t>
      </w:r>
    </w:p>
    <w:p w14:paraId="5ED4B697" w14:textId="5E649C7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(15)</w:t>
      </w:r>
      <w:r w:rsidRPr="00D779B0">
        <w:rPr>
          <w:rFonts w:ascii="Times New Roman" w:hAnsi="Times New Roman" w:cs="Times New Roman"/>
          <w:color w:val="000000"/>
          <w:sz w:val="24"/>
          <w:szCs w:val="24"/>
        </w:rPr>
        <w:tab/>
        <w:t>точка FCL.140.H се заменува со следново:</w:t>
      </w:r>
    </w:p>
    <w:p w14:paraId="216DA61C"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„FCL.140.H LAPL(H) – Услови за неодамнешно искуство</w:t>
      </w:r>
    </w:p>
    <w:p w14:paraId="068A3F31" w14:textId="1192633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Имателите на LAPL(H) ги остваруваат правата од нивната дозвола за одреден тип само ако во последните 12 месеци, на соодветниот тип, презеле еден од следниве чекори:</w:t>
      </w:r>
    </w:p>
    <w:p w14:paraId="00A6E511" w14:textId="4119294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ги завршиле двете од следново:</w:t>
      </w:r>
    </w:p>
    <w:p w14:paraId="44F42D12" w14:textId="02A7193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6 часа време на летање на хеликоптери од тој тип како PIC, или летање со инструктор или самостојно под надзор на инструктор, </w:t>
      </w:r>
      <w:r w:rsidR="00C31894">
        <w:rPr>
          <w:rFonts w:ascii="Times New Roman" w:hAnsi="Times New Roman" w:cs="Times New Roman"/>
          <w:color w:val="000000"/>
          <w:sz w:val="24"/>
          <w:szCs w:val="24"/>
        </w:rPr>
        <w:t xml:space="preserve">вклучително и </w:t>
      </w:r>
      <w:r w:rsidRPr="00D779B0">
        <w:rPr>
          <w:rFonts w:ascii="Times New Roman" w:hAnsi="Times New Roman" w:cs="Times New Roman"/>
          <w:color w:val="000000"/>
          <w:sz w:val="24"/>
          <w:szCs w:val="24"/>
        </w:rPr>
        <w:t xml:space="preserve">шест полетувања, </w:t>
      </w:r>
      <w:r w:rsidR="004B53AD" w:rsidRPr="00D779B0">
        <w:rPr>
          <w:rFonts w:ascii="Times New Roman" w:hAnsi="Times New Roman" w:cs="Times New Roman"/>
          <w:color w:val="000000"/>
          <w:sz w:val="24"/>
          <w:szCs w:val="24"/>
        </w:rPr>
        <w:t>приоди</w:t>
      </w:r>
      <w:r w:rsidRPr="00D779B0">
        <w:rPr>
          <w:rFonts w:ascii="Times New Roman" w:hAnsi="Times New Roman" w:cs="Times New Roman"/>
          <w:color w:val="000000"/>
          <w:sz w:val="24"/>
          <w:szCs w:val="24"/>
        </w:rPr>
        <w:t xml:space="preserve"> и слетувања;</w:t>
      </w:r>
    </w:p>
    <w:p w14:paraId="6671DD8C" w14:textId="5F7F3E3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обука за обновување на знаењето од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1 час од вкупното време на летање со и со одобрение на инструктор кој ги избира оние вежби за летање што му овозможуваат на кандидатот да ја обнови неговата компетентност за безбедна операција на воздухопловот и применувајќи стандардни процедури и процедури за невообичаени ситуации и за опасни ситуации;</w:t>
      </w:r>
    </w:p>
    <w:p w14:paraId="394D2976" w14:textId="5F72BEF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(2)</w:t>
      </w:r>
      <w:r w:rsidRPr="00D779B0">
        <w:rPr>
          <w:rFonts w:ascii="Times New Roman" w:hAnsi="Times New Roman" w:cs="Times New Roman"/>
          <w:color w:val="000000"/>
          <w:sz w:val="24"/>
          <w:szCs w:val="24"/>
        </w:rPr>
        <w:tab/>
        <w:t>поминале проверка на стручноста со испитувач за конкретниот тип пред да продолжат со остварувањето на правата од нивната дозвола. Таа програма за проверка на стручноста се заснова на тестот за вештини за LAPL(H).</w:t>
      </w:r>
    </w:p>
    <w:p w14:paraId="603C7965" w14:textId="43C5CD4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Кандидатите може да изберат да ја завршат обуката за обновување на знаењето наведена во точка (а)(1)(ii) на воздухопловот или FSTD што го претставува релевантниот тип, или во комбинација од двете.</w:t>
      </w:r>
    </w:p>
    <w:p w14:paraId="0B09F641" w14:textId="362C815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Летовите со инструктор, летовите под надзор наведени во точка (а)(1)(i), обуката за обновување на знаењето наведена во точка (а)(1)(ii) и проверката на стручноста наведена во точка (а)(2) се внесуваат во дневникот на пилотот или во еквивалентна евиденција и се потпишуваат од инструкторот или испитувачот, како што е применливо.“;</w:t>
      </w:r>
    </w:p>
    <w:p w14:paraId="1838D7EF" w14:textId="53789D3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(16)</w:t>
      </w:r>
      <w:r w:rsidRPr="00D779B0">
        <w:rPr>
          <w:rFonts w:ascii="Times New Roman" w:hAnsi="Times New Roman" w:cs="Times New Roman"/>
          <w:color w:val="000000"/>
          <w:sz w:val="24"/>
          <w:szCs w:val="24"/>
        </w:rPr>
        <w:tab/>
        <w:t>во точка FCL.205.A(б), точките (2) и (3) се заменуваат со следново:</w:t>
      </w:r>
    </w:p>
    <w:p w14:paraId="57C0A7C4" w14:textId="3A54898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спроведувањето на тестови за вештини и проверки на стручноста за дозволите наведени во точка (1);</w:t>
      </w:r>
    </w:p>
    <w:p w14:paraId="14F0F009" w14:textId="46CD1D0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обуката, тестирањето и проверката за овластувањата или уверенијата поврзани со дозволата на инструкторот или испитувачот, како што е применливо.“;</w:t>
      </w:r>
    </w:p>
    <w:p w14:paraId="7A3536F9" w14:textId="2F8227F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(17)</w:t>
      </w:r>
      <w:r w:rsidR="00D45155">
        <w:rPr>
          <w:rFonts w:ascii="Times New Roman" w:hAnsi="Times New Roman" w:cs="Times New Roman"/>
          <w:color w:val="000000"/>
          <w:sz w:val="24"/>
          <w:szCs w:val="24"/>
        </w:rPr>
        <w:tab/>
      </w:r>
      <w:r w:rsidRPr="00D779B0">
        <w:rPr>
          <w:rFonts w:ascii="Times New Roman" w:hAnsi="Times New Roman" w:cs="Times New Roman"/>
          <w:color w:val="000000"/>
          <w:sz w:val="24"/>
          <w:szCs w:val="24"/>
        </w:rPr>
        <w:t>во точка FCL.210.A, точките (а) и (б) се заменуваат со следново:</w:t>
      </w:r>
    </w:p>
    <w:p w14:paraId="668AE704" w14:textId="35A48E2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 xml:space="preserve">Кандидатите за PPL(A) завршиле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45 часа оспособување за летање на авиони или TMG, од кои 5 часа може да се завршени на FSTD, </w:t>
      </w:r>
      <w:r w:rsidR="00C31894">
        <w:rPr>
          <w:rFonts w:ascii="Times New Roman" w:hAnsi="Times New Roman" w:cs="Times New Roman"/>
          <w:color w:val="000000"/>
          <w:sz w:val="24"/>
          <w:szCs w:val="24"/>
        </w:rPr>
        <w:t xml:space="preserve">вклучително и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следново:</w:t>
      </w:r>
    </w:p>
    <w:p w14:paraId="79CD6854" w14:textId="4B191CE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25 часа оспособување за летање со инструктор;</w:t>
      </w:r>
    </w:p>
    <w:p w14:paraId="58286396" w14:textId="215A74C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10 часа самостојно време на летање под надзор на инструктор, </w:t>
      </w:r>
      <w:r w:rsidR="00C31894">
        <w:rPr>
          <w:rFonts w:ascii="Times New Roman" w:hAnsi="Times New Roman" w:cs="Times New Roman"/>
          <w:color w:val="000000"/>
          <w:sz w:val="24"/>
          <w:szCs w:val="24"/>
        </w:rPr>
        <w:t xml:space="preserve">вклучително </w:t>
      </w:r>
      <w:r w:rsidRPr="00D779B0">
        <w:rPr>
          <w:rFonts w:ascii="Times New Roman" w:hAnsi="Times New Roman" w:cs="Times New Roman"/>
          <w:color w:val="000000"/>
          <w:sz w:val="24"/>
          <w:szCs w:val="24"/>
        </w:rPr>
        <w:t xml:space="preserve">и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5 часа самостојно време на лет на маршрута со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еден лет на маршрута од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270 km (150 NM), при што се прават целосни слетувања на два аеродрома различни од аеродромот на полетување.</w:t>
      </w:r>
    </w:p>
    <w:p w14:paraId="2081621D"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Кандидатите може да го завршат времето на летање од курсот за обука за овластување за ноќно летање во согласност со точка FCL.810 (а)(1)(ii) како дел од 45-часовното оспособување за летање, под услов, пред да започнат со обука за овластување за ноќно летање, да имаат завршено обука за основно летање по инструменти.</w:t>
      </w:r>
    </w:p>
    <w:p w14:paraId="1E9DA63D" w14:textId="62BBF2E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Конкретни услови за кандидатите кои поминале обука за LAPL(A). На кандидатите за PPL(A) им се признава претходна обука за LAPL(A) што ја поминале и им се издава PPL(A), под услов обуката за LAPL(A) и обуката за PPL(A) што ги завршиле вкупно да е во согласност со условите за искуство во точка (а). Меѓутоа, во таков случај се применува сѐ од следново:</w:t>
      </w:r>
    </w:p>
    <w:p w14:paraId="20FF3260" w14:textId="263EAA5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ако кандидатите веќе поседуваат LAPL(A), се применува сѐ од следново, под услов кандидатите да имаат завршено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45 часа вкупно време на летање на авиони или TMG:</w:t>
      </w:r>
    </w:p>
    <w:p w14:paraId="1B51C245" w14:textId="0437F56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(i)</w:t>
      </w:r>
      <w:r w:rsidRPr="00D779B0">
        <w:rPr>
          <w:rFonts w:ascii="Times New Roman" w:hAnsi="Times New Roman" w:cs="Times New Roman"/>
          <w:color w:val="000000"/>
          <w:sz w:val="24"/>
          <w:szCs w:val="24"/>
        </w:rPr>
        <w:tab/>
        <w:t>условот во воведната реченица од точка (а) се намалува на 40 часа оспособување за летање;</w:t>
      </w:r>
    </w:p>
    <w:p w14:paraId="2A969255" w14:textId="47D0CDB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условот во точка (а)(1) се намалува на 21 часа оспособување за летање со инструктор;</w:t>
      </w:r>
    </w:p>
    <w:p w14:paraId="6D78825F" w14:textId="4D1ABB3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кандидатите завршиле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сѐ од следново со инструктор кој е квалификуван за оспособување за PPL(A):</w:t>
      </w:r>
    </w:p>
    <w:p w14:paraId="432E58E5" w14:textId="0DA4E6F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5 часа оспособување за летање со инструктор;</w:t>
      </w:r>
    </w:p>
    <w:p w14:paraId="64150FB2" w14:textId="1684E56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самостојно време на летање како што е наведено во точка (а)(2).“;</w:t>
      </w:r>
    </w:p>
    <w:p w14:paraId="17081CF2" w14:textId="320E050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(18)</w:t>
      </w:r>
      <w:r w:rsidRPr="00D779B0">
        <w:rPr>
          <w:rFonts w:ascii="Times New Roman" w:hAnsi="Times New Roman" w:cs="Times New Roman"/>
          <w:color w:val="000000"/>
          <w:sz w:val="24"/>
          <w:szCs w:val="24"/>
        </w:rPr>
        <w:tab/>
        <w:t>во точка FCL.205.H(б), точките (2) и (3) се заменуваат со следново:</w:t>
      </w:r>
    </w:p>
    <w:p w14:paraId="2D4B3E5E" w14:textId="071C753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спроведувањето на тестови за вештини и проверки на стручноста за дозволите наведени во точка (1);</w:t>
      </w:r>
    </w:p>
    <w:p w14:paraId="3AA45671" w14:textId="032CE9E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обуката, тестирањето и проверката за овластувањата или уверенијата поврзани со дозволата на инструкторот или испитувачот, како што е применливо.“;</w:t>
      </w:r>
    </w:p>
    <w:p w14:paraId="4D951307" w14:textId="4D755D4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(19)</w:t>
      </w:r>
      <w:r w:rsidRPr="00D779B0">
        <w:rPr>
          <w:rFonts w:ascii="Times New Roman" w:hAnsi="Times New Roman" w:cs="Times New Roman"/>
          <w:color w:val="000000"/>
          <w:sz w:val="24"/>
          <w:szCs w:val="24"/>
        </w:rPr>
        <w:tab/>
        <w:t>точка FCL.210.H се изменува како што следува:</w:t>
      </w:r>
    </w:p>
    <w:p w14:paraId="6B07D58C" w14:textId="6AF93FB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во точка (а), воведната фраза се заменува со следново:</w:t>
      </w:r>
    </w:p>
    <w:p w14:paraId="26984C2E" w14:textId="57F1E67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„Кандидатите за PPL(H) завршиле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45 часа оспособување за летање на хеликоптери, од кои 5 часа може да се завршени на FSTD, </w:t>
      </w:r>
      <w:r w:rsidR="00C31894">
        <w:rPr>
          <w:rFonts w:ascii="Times New Roman" w:hAnsi="Times New Roman" w:cs="Times New Roman"/>
          <w:color w:val="000000"/>
          <w:sz w:val="24"/>
          <w:szCs w:val="24"/>
        </w:rPr>
        <w:t xml:space="preserve">вклучително и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w:t>
      </w:r>
    </w:p>
    <w:p w14:paraId="3BAF3EFA" w14:textId="6065F19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точка (б) се заменува со следново:</w:t>
      </w:r>
    </w:p>
    <w:p w14:paraId="4D0FD47C" w14:textId="5A27B62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Конкретни услови за кандидатите кои поминале обука за LAPL(H). На кандидатите за PPL(H) им се признава претходна обука за LAPL(H) што ја поминале и им се издава PPL(H), под услов обуката за LAPL(H) и обуката за PPL(A) што ги завршиле вкупно да е во согласност со условите за искуство во точка (а).“;</w:t>
      </w:r>
    </w:p>
    <w:p w14:paraId="735786D0" w14:textId="0AF36A0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(20)</w:t>
      </w:r>
      <w:r w:rsidRPr="00D779B0">
        <w:rPr>
          <w:rFonts w:ascii="Times New Roman" w:hAnsi="Times New Roman" w:cs="Times New Roman"/>
          <w:color w:val="000000"/>
          <w:sz w:val="24"/>
          <w:szCs w:val="24"/>
        </w:rPr>
        <w:tab/>
        <w:t>во точка FCL.205.As(б), точките (2) и (3) се заменуваат со следново:</w:t>
      </w:r>
    </w:p>
    <w:p w14:paraId="7FDBDDBC" w14:textId="232D599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спроведувањето на тестови за вештини и проверки на стручноста за дозволата наведена во точка (1);</w:t>
      </w:r>
    </w:p>
    <w:p w14:paraId="30D65F06" w14:textId="44E26BE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обуката, тестирањето и проверката за овластувањата или уверенијата поврзани со дозволата на инструкторот или испитувачот, како што е применливо.“;</w:t>
      </w:r>
    </w:p>
    <w:p w14:paraId="2B08280C" w14:textId="0131C98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(21)</w:t>
      </w:r>
      <w:r w:rsidRPr="00D779B0">
        <w:rPr>
          <w:rFonts w:ascii="Times New Roman" w:hAnsi="Times New Roman" w:cs="Times New Roman"/>
          <w:color w:val="000000"/>
          <w:sz w:val="24"/>
          <w:szCs w:val="24"/>
        </w:rPr>
        <w:tab/>
        <w:t>точка FCL.325.A се заменува со следново:</w:t>
      </w:r>
    </w:p>
    <w:p w14:paraId="72F5170B"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„FCL.325.A CPL(A) – Конкретни услови за апликантите кои поседуваат MPL</w:t>
      </w:r>
    </w:p>
    <w:p w14:paraId="3F81F429" w14:textId="099AEE4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Кандидатите за CPL(A) кои поседуваат MPL (ги/го) завршиле на авиони:</w:t>
      </w:r>
    </w:p>
    <w:p w14:paraId="0209D065" w14:textId="77777777" w:rsidR="008D4A7B"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lastRenderedPageBreak/>
        <w:t>(1)</w:t>
      </w:r>
      <w:r w:rsidRPr="00D779B0">
        <w:rPr>
          <w:rFonts w:ascii="Times New Roman" w:hAnsi="Times New Roman" w:cs="Times New Roman"/>
          <w:color w:val="000000"/>
          <w:sz w:val="24"/>
          <w:szCs w:val="24"/>
        </w:rPr>
        <w:tab/>
        <w:t>70 часа време на летање на еден од следниве начини:</w:t>
      </w:r>
    </w:p>
    <w:p w14:paraId="7780A9C6" w14:textId="107560A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како PIC;</w:t>
      </w:r>
    </w:p>
    <w:p w14:paraId="1DFE0BD1" w14:textId="7623E3A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10 часа како PIC и дополнителното време на летање како PIC под надзор (PICUS).</w:t>
      </w:r>
    </w:p>
    <w:p w14:paraId="36180035" w14:textId="1B754D0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Од тие 70 часа, 20 часа се време на лет на маршрута по VFR како PIC, или време на лет на маршрута од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10 часа како PIC и 10 часа како PICUS. Тоа вклучува време на лет на маршрута по VFR од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540 km (300 NM) при што се прават целосни слетувања на два различни аеродроми како PIC;</w:t>
      </w:r>
    </w:p>
    <w:p w14:paraId="51CCBC55" w14:textId="7E18CF9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00CD69F2">
        <w:rPr>
          <w:rFonts w:ascii="Times New Roman" w:hAnsi="Times New Roman" w:cs="Times New Roman"/>
          <w:color w:val="000000"/>
          <w:sz w:val="24"/>
          <w:szCs w:val="24"/>
        </w:rPr>
        <w:tab/>
      </w:r>
      <w:r w:rsidRPr="00D779B0">
        <w:rPr>
          <w:rFonts w:ascii="Times New Roman" w:hAnsi="Times New Roman" w:cs="Times New Roman"/>
          <w:color w:val="000000"/>
          <w:sz w:val="24"/>
          <w:szCs w:val="24"/>
        </w:rPr>
        <w:t>елементите на модуларниот курс за CPL(A) како што е наведено во Поглавје Д, точка 10(а) и точка 11, од Додаток 3;</w:t>
      </w:r>
    </w:p>
    <w:p w14:paraId="3661E2DE" w14:textId="5B6F833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тест за вештини за CPL(A), во согласност со точка FCL.320.</w:t>
      </w:r>
    </w:p>
    <w:p w14:paraId="64493E41" w14:textId="597802B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00CD69F2">
        <w:rPr>
          <w:rFonts w:ascii="Times New Roman" w:hAnsi="Times New Roman" w:cs="Times New Roman"/>
          <w:color w:val="000000"/>
          <w:sz w:val="24"/>
          <w:szCs w:val="24"/>
        </w:rPr>
        <w:tab/>
      </w:r>
      <w:r w:rsidRPr="00D779B0">
        <w:rPr>
          <w:rFonts w:ascii="Times New Roman" w:hAnsi="Times New Roman" w:cs="Times New Roman"/>
          <w:color w:val="000000"/>
          <w:sz w:val="24"/>
          <w:szCs w:val="24"/>
        </w:rPr>
        <w:t xml:space="preserve">Кога се издава CPL во согласност со точка (а), кандидатите се </w:t>
      </w:r>
      <w:r w:rsidR="00C31894" w:rsidRPr="00D779B0">
        <w:rPr>
          <w:rFonts w:ascii="Times New Roman" w:hAnsi="Times New Roman" w:cs="Times New Roman"/>
          <w:color w:val="000000"/>
          <w:sz w:val="24"/>
          <w:szCs w:val="24"/>
        </w:rPr>
        <w:t>подл</w:t>
      </w:r>
      <w:r w:rsidR="00C31894">
        <w:rPr>
          <w:rFonts w:ascii="Times New Roman" w:hAnsi="Times New Roman" w:cs="Times New Roman"/>
          <w:color w:val="000000"/>
          <w:sz w:val="24"/>
          <w:szCs w:val="24"/>
        </w:rPr>
        <w:t>о</w:t>
      </w:r>
      <w:r w:rsidR="00C31894" w:rsidRPr="00D779B0">
        <w:rPr>
          <w:rFonts w:ascii="Times New Roman" w:hAnsi="Times New Roman" w:cs="Times New Roman"/>
          <w:color w:val="000000"/>
          <w:sz w:val="24"/>
          <w:szCs w:val="24"/>
        </w:rPr>
        <w:t>жни</w:t>
      </w:r>
      <w:r w:rsidRPr="00D779B0">
        <w:rPr>
          <w:rFonts w:ascii="Times New Roman" w:hAnsi="Times New Roman" w:cs="Times New Roman"/>
          <w:color w:val="000000"/>
          <w:sz w:val="24"/>
          <w:szCs w:val="24"/>
        </w:rPr>
        <w:t xml:space="preserve"> на следниве услови:</w:t>
      </w:r>
    </w:p>
    <w:p w14:paraId="68E63B1F" w14:textId="06FBC53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ги исполнуваат условите од точка FCL.405.A(в) со цел да се прошират правата од нивното IR(A) за операции само со еден пилот во авиони;</w:t>
      </w:r>
    </w:p>
    <w:p w14:paraId="63770999" w14:textId="7E15EED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ограничени се нивните овластувања за тип за да ги остварат само правата на копилот. Тоа ограничување се отстранува кога кандидатите завршуваат проверка на стручноста за релевантниот тип во согласност со Додаток 9 во својство на PIC.“;</w:t>
      </w:r>
    </w:p>
    <w:p w14:paraId="7D1C1020" w14:textId="77777777" w:rsidR="008D4A7B"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(22)</w:t>
      </w:r>
      <w:r w:rsidRPr="00D779B0">
        <w:rPr>
          <w:rFonts w:ascii="Times New Roman" w:hAnsi="Times New Roman" w:cs="Times New Roman"/>
          <w:color w:val="000000"/>
          <w:sz w:val="24"/>
          <w:szCs w:val="24"/>
        </w:rPr>
        <w:tab/>
        <w:t>во точка FCL.405.A, точка (б) се заменува со следново:</w:t>
      </w:r>
    </w:p>
    <w:p w14:paraId="68B81DA7" w14:textId="1FEA5DC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На имателите на MPL, по барање:</w:t>
      </w:r>
    </w:p>
    <w:p w14:paraId="7A567F28" w14:textId="137CD10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им се даваат дополнителни права на имател на PPL(A), под услов да ги исполнуваат условите за PPL(A) наведени во Поддел В;</w:t>
      </w:r>
    </w:p>
    <w:p w14:paraId="63592C85" w14:textId="55BAD0F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 им се заменува нивната MPL со CPL(A), под услов да ги исполнуваат условите наведени во точка FCL.325.A.“;</w:t>
      </w:r>
    </w:p>
    <w:p w14:paraId="6F0DE86B" w14:textId="571BC63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(23)</w:t>
      </w:r>
      <w:r w:rsidRPr="00D779B0">
        <w:rPr>
          <w:rFonts w:ascii="Times New Roman" w:hAnsi="Times New Roman" w:cs="Times New Roman"/>
          <w:color w:val="000000"/>
          <w:sz w:val="24"/>
          <w:szCs w:val="24"/>
        </w:rPr>
        <w:tab/>
        <w:t>во точка FCL.510.A(в), се додава следнава точка (3):</w:t>
      </w:r>
    </w:p>
    <w:p w14:paraId="039A459D" w14:textId="773F0A1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На имателите на ограничено овластување за тип издадено во согласност со точка FCL.720.A(в) им се признава нивното време на летање завршено додека ги остваруваат правата од тоа овластување за тип до максимум 250 часа.“;</w:t>
      </w:r>
    </w:p>
    <w:p w14:paraId="506D4B83" w14:textId="0ECF3E7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(24)</w:t>
      </w:r>
      <w:r w:rsidRPr="00D779B0">
        <w:rPr>
          <w:rFonts w:ascii="Times New Roman" w:hAnsi="Times New Roman" w:cs="Times New Roman"/>
          <w:color w:val="000000"/>
          <w:sz w:val="24"/>
          <w:szCs w:val="24"/>
        </w:rPr>
        <w:tab/>
        <w:t>точка FCL.710 се изменува како што следува:</w:t>
      </w:r>
    </w:p>
    <w:p w14:paraId="0BF6B244" w14:textId="119716E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точка (а) се заменува со следново:</w:t>
      </w:r>
    </w:p>
    <w:p w14:paraId="12218DBB" w14:textId="25C229D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 xml:space="preserve">Пилотите завршуваат обука за разлики или се запознаваат со новата варијанта со цел да ги прошират нивните права за друга варијанта на воздухоплов во рамките на овластување за класа или тип, или, во случај на точка FCL.710(г)(1) од </w:t>
      </w:r>
      <w:r w:rsidR="00C74D50">
        <w:rPr>
          <w:rFonts w:ascii="Times New Roman" w:hAnsi="Times New Roman" w:cs="Times New Roman"/>
          <w:color w:val="000000"/>
          <w:sz w:val="24"/>
          <w:szCs w:val="24"/>
        </w:rPr>
        <w:t>овој анекс</w:t>
      </w:r>
      <w:r w:rsidRPr="00D779B0">
        <w:rPr>
          <w:rFonts w:ascii="Times New Roman" w:hAnsi="Times New Roman" w:cs="Times New Roman"/>
          <w:color w:val="000000"/>
          <w:sz w:val="24"/>
          <w:szCs w:val="24"/>
        </w:rPr>
        <w:t xml:space="preserve">, со цел да се задржат тие права. Во случај на варијанти во рамките </w:t>
      </w:r>
      <w:r w:rsidRPr="00D779B0">
        <w:rPr>
          <w:rFonts w:ascii="Times New Roman" w:hAnsi="Times New Roman" w:cs="Times New Roman"/>
          <w:color w:val="000000"/>
          <w:sz w:val="24"/>
          <w:szCs w:val="24"/>
        </w:rPr>
        <w:lastRenderedPageBreak/>
        <w:t xml:space="preserve">на овластување за класа или тип, обуката за разлики или запознавањето со новата варијанта ги вклучува релевантните елементи дефинирани во податоците за оперативна соодветност утврдени во согласност со Анекс I (Дел 21)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748/2012, каде што е применливо. Кога се прошируваат правилата за овластување за класа на SEP-авиони на варијанта со друг тип на мотор наведен во член 2, точка (8в), од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 xml:space="preserve">, обуката за разлики се состои од оспособување за летање со инструктор и оспособување за теоретско знаење, што ги вклучува, во однос на тој друг тип на мотор и поврзани системи на воздухоплови,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сите од следниве теми:</w:t>
      </w:r>
    </w:p>
    <w:p w14:paraId="2C470D29" w14:textId="70DBBBE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Општо знаење за воздухоплови;</w:t>
      </w:r>
    </w:p>
    <w:p w14:paraId="3CD0A9A6" w14:textId="02EEF2E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Оперативни процедури;</w:t>
      </w:r>
    </w:p>
    <w:p w14:paraId="2C091149" w14:textId="4A07D04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Изведба и планирање на лет.“;</w:t>
      </w:r>
    </w:p>
    <w:p w14:paraId="72E8D809" w14:textId="0A9384F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точките (в) и (г) се заменуваат со следново:</w:t>
      </w:r>
    </w:p>
    <w:p w14:paraId="69B4CC26" w14:textId="1BAE33A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 xml:space="preserve">И покрај условот во точка (б), обуката за разлики за следните воздухоплови може да ја спроведе соодветно квалификуван инструктор, освен ако не е поинаку предвидено во податоците за оперативна соодветност утврдени во согласност со Анекс I (Дел 21)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748/2012:</w:t>
      </w:r>
    </w:p>
    <w:p w14:paraId="7410E515" w14:textId="77777777" w:rsidR="008D4A7B"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авиони за кои е потребно овластување за класа:</w:t>
      </w:r>
    </w:p>
    <w:p w14:paraId="5808C9CF" w14:textId="30D8466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TMG;</w:t>
      </w:r>
    </w:p>
    <w:p w14:paraId="6432FBA4" w14:textId="204C2C2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SEP-авиони;</w:t>
      </w:r>
    </w:p>
    <w:p w14:paraId="12EC9C92" w14:textId="4092063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MEP-авиони;</w:t>
      </w:r>
    </w:p>
    <w:p w14:paraId="1A3F4649" w14:textId="04FF709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(iv)</w:t>
      </w:r>
      <w:r w:rsidR="00CD69F2">
        <w:rPr>
          <w:rFonts w:ascii="Times New Roman" w:hAnsi="Times New Roman" w:cs="Times New Roman"/>
          <w:color w:val="000000"/>
          <w:sz w:val="24"/>
          <w:szCs w:val="24"/>
        </w:rPr>
        <w:tab/>
      </w:r>
      <w:r w:rsidRPr="00D779B0">
        <w:rPr>
          <w:rFonts w:ascii="Times New Roman" w:hAnsi="Times New Roman" w:cs="Times New Roman"/>
          <w:color w:val="000000"/>
          <w:sz w:val="24"/>
          <w:szCs w:val="24"/>
        </w:rPr>
        <w:t>SET-авиони, освен за сложени SET-авиони или SET-авиони со високи перформанси;</w:t>
      </w:r>
    </w:p>
    <w:p w14:paraId="08782FAC" w14:textId="5723DB1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хеликоптери со еден мотор со максимална маса на полетување до 3 175 kg.</w:t>
      </w:r>
    </w:p>
    <w:p w14:paraId="05C98219" w14:textId="5690420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 xml:space="preserve">Пилотите кои, откако ги прошириле нивните права за друга варијанта во рамките на овластување за класа или тип во согласност со оваа точка, не летале со таа варијанта во претходните 2 години, пред да ги остварат нивните права во таа варијанта, завршуваат </w:t>
      </w:r>
      <w:r w:rsidR="00D33DE6" w:rsidRPr="00D779B0">
        <w:rPr>
          <w:rFonts w:ascii="Times New Roman" w:hAnsi="Times New Roman" w:cs="Times New Roman"/>
          <w:color w:val="000000"/>
          <w:sz w:val="24"/>
          <w:szCs w:val="24"/>
        </w:rPr>
        <w:t xml:space="preserve">што било </w:t>
      </w:r>
      <w:r w:rsidRPr="00D779B0">
        <w:rPr>
          <w:rFonts w:ascii="Times New Roman" w:hAnsi="Times New Roman" w:cs="Times New Roman"/>
          <w:color w:val="000000"/>
          <w:sz w:val="24"/>
          <w:szCs w:val="24"/>
        </w:rPr>
        <w:t>од следново во таа варијанта:</w:t>
      </w:r>
    </w:p>
    <w:p w14:paraId="1E90BDCB" w14:textId="31A882D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дополнителна обука за разлики во согласност со точките (а) и (б) или, доколку е применливо, (в);</w:t>
      </w:r>
    </w:p>
    <w:p w14:paraId="31CDDDE1" w14:textId="3920681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проверка на стручноста;</w:t>
      </w:r>
    </w:p>
    <w:p w14:paraId="41C5BF01" w14:textId="5C92CB7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во случај на варијанта во рамките на овластување за класа на SEP-авиони со одреден тип на мотор наведен во член 2, точка (8в), обука за обновување на знаењето во согласност со точка FCL.740.A(б)(1)(ii)(В).“;</w:t>
      </w:r>
    </w:p>
    <w:p w14:paraId="5A3D6107" w14:textId="01F737C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се вметнува следнава точка (га):</w:t>
      </w:r>
    </w:p>
    <w:p w14:paraId="7FC0374F" w14:textId="7741DE3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„(га)</w:t>
      </w:r>
      <w:r w:rsidRPr="00D779B0">
        <w:rPr>
          <w:rFonts w:ascii="Times New Roman" w:hAnsi="Times New Roman" w:cs="Times New Roman"/>
          <w:color w:val="000000"/>
          <w:sz w:val="24"/>
          <w:szCs w:val="24"/>
        </w:rPr>
        <w:tab/>
        <w:t xml:space="preserve">Точка FCL.710(г) не се применува во случај на варијанти во рамките на овластувањето за класа на TMG и варијанти во рамките на овластувањето за класа на SEP-авиони кои имаат ист тип на мотор наведен во член 2, точка (8в), од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w:t>
      </w:r>
    </w:p>
    <w:p w14:paraId="0C16D5E0" w14:textId="5C02517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(25)</w:t>
      </w:r>
      <w:r w:rsidRPr="00D779B0">
        <w:rPr>
          <w:rFonts w:ascii="Times New Roman" w:hAnsi="Times New Roman" w:cs="Times New Roman"/>
          <w:color w:val="000000"/>
          <w:sz w:val="24"/>
          <w:szCs w:val="24"/>
        </w:rPr>
        <w:tab/>
        <w:t>точка FCL.725 се изменува како што следува:</w:t>
      </w:r>
    </w:p>
    <w:p w14:paraId="6317B5BC" w14:textId="3D24C87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точка (а) се заменува со следново:</w:t>
      </w:r>
    </w:p>
    <w:p w14:paraId="1FA3D274" w14:textId="705A151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 xml:space="preserve">Курс за обука. Кандидатот за овластување за класа или тип завршува курс за обука во ATO. Кандидат за овластување за класа на SEP-авиони кои немаат високи перформанси, овластување за класа на TMG или овластување за тип на хеликоптери со еден мотор наведено во точка DTO.GEN.110(а)(2)(в) од Анекс VIII (Дел-DTO) кон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 xml:space="preserve"> може да го заврши курсот за обука во DTO. Курсот за обука за овластување за тип ги вклучува задолжителните елементи за обука за релевантниот тип како што е дефинирано во податоците за оперативна соодветност утврдени во согласност со Анекс I (Дел 21)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748/2012.“;</w:t>
      </w:r>
    </w:p>
    <w:p w14:paraId="6ACD67DB" w14:textId="06AF780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точка (г) се заменува со следново:</w:t>
      </w:r>
    </w:p>
    <w:p w14:paraId="651633D8" w14:textId="203FDE6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Операции со само еден пилот и повеќе пилоти во воздухоплови со само еден пилот – овластувања за тип</w:t>
      </w:r>
    </w:p>
    <w:p w14:paraId="1FCFC5E7" w14:textId="2AA1B45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Правата на имателите на овластување за тип на воздухоплов со само еден пилот ги вклучуваат правата да летаат со воздухопловот во операции со само еден пилот и операции со повеќе пилоти. Меѓутоа, таквите иматели ги остваруваат тие права за одредена форма на операција само доколку исполнуваат сѐ од следново:</w:t>
      </w:r>
    </w:p>
    <w:p w14:paraId="5F547B47" w14:textId="5A7363A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(i) успешно завршиле обука за летање за релевантната форма на операција на релевантниот тип на воздухоплов во согласност со Додаток 9 кон </w:t>
      </w:r>
      <w:r w:rsidR="00C74D50">
        <w:rPr>
          <w:rFonts w:ascii="Times New Roman" w:hAnsi="Times New Roman" w:cs="Times New Roman"/>
          <w:color w:val="000000"/>
          <w:sz w:val="24"/>
          <w:szCs w:val="24"/>
        </w:rPr>
        <w:t>овој анекс</w:t>
      </w:r>
      <w:r w:rsidRPr="00D779B0">
        <w:rPr>
          <w:rFonts w:ascii="Times New Roman" w:hAnsi="Times New Roman" w:cs="Times New Roman"/>
          <w:color w:val="000000"/>
          <w:sz w:val="24"/>
          <w:szCs w:val="24"/>
        </w:rPr>
        <w:t xml:space="preserve">, освен ако не е поинаку наведено во податоците за оперативна соодветност утврдени во согласност со Анекс I (Дел 21)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 ЕУ) бр. 748/2012. Таа обука за летање за одредена форма на операција или се вклучува во првичниот курс за обука за овластување за тип во ATO или, по првичното издавање на овластувањето за тип, се завршува во форма на дополнителна обука во која </w:t>
      </w:r>
      <w:r w:rsidR="00D33DE6" w:rsidRPr="00D779B0">
        <w:rPr>
          <w:rFonts w:ascii="Times New Roman" w:hAnsi="Times New Roman" w:cs="Times New Roman"/>
          <w:color w:val="000000"/>
          <w:sz w:val="24"/>
          <w:szCs w:val="24"/>
        </w:rPr>
        <w:t xml:space="preserve">било </w:t>
      </w:r>
      <w:r w:rsidRPr="00D779B0">
        <w:rPr>
          <w:rFonts w:ascii="Times New Roman" w:hAnsi="Times New Roman" w:cs="Times New Roman"/>
          <w:color w:val="000000"/>
          <w:sz w:val="24"/>
          <w:szCs w:val="24"/>
        </w:rPr>
        <w:t>од следниве организации:</w:t>
      </w:r>
    </w:p>
    <w:p w14:paraId="470A41FD" w14:textId="09A1734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во ATO;</w:t>
      </w:r>
    </w:p>
    <w:p w14:paraId="6F925B21" w14:textId="016297A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организација која е </w:t>
      </w:r>
      <w:r w:rsidR="00C31894" w:rsidRPr="00D779B0">
        <w:rPr>
          <w:rFonts w:ascii="Times New Roman" w:hAnsi="Times New Roman" w:cs="Times New Roman"/>
          <w:color w:val="000000"/>
          <w:sz w:val="24"/>
          <w:szCs w:val="24"/>
        </w:rPr>
        <w:t>подл</w:t>
      </w:r>
      <w:r w:rsidR="00C31894">
        <w:rPr>
          <w:rFonts w:ascii="Times New Roman" w:hAnsi="Times New Roman" w:cs="Times New Roman"/>
          <w:color w:val="000000"/>
          <w:sz w:val="24"/>
          <w:szCs w:val="24"/>
        </w:rPr>
        <w:t>о</w:t>
      </w:r>
      <w:r w:rsidR="00C31894" w:rsidRPr="00D779B0">
        <w:rPr>
          <w:rFonts w:ascii="Times New Roman" w:hAnsi="Times New Roman" w:cs="Times New Roman"/>
          <w:color w:val="000000"/>
          <w:sz w:val="24"/>
          <w:szCs w:val="24"/>
        </w:rPr>
        <w:t>жна</w:t>
      </w:r>
      <w:r w:rsidRPr="00D779B0">
        <w:rPr>
          <w:rFonts w:ascii="Times New Roman" w:hAnsi="Times New Roman" w:cs="Times New Roman"/>
          <w:color w:val="000000"/>
          <w:sz w:val="24"/>
          <w:szCs w:val="24"/>
        </w:rPr>
        <w:t xml:space="preserve"> на Анекс III (Дел-ОРО)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965/2012 и која има право да спроведува таква обука врз основа или на одобрение или на изјава;</w:t>
      </w:r>
    </w:p>
    <w:p w14:paraId="5CBEE11F" w14:textId="6F7BB29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завршиле тест за вештини или проверка на стручноста:</w:t>
      </w:r>
    </w:p>
    <w:p w14:paraId="21CF3DE7" w14:textId="26138E3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за операции со само еден пилот на еден од следниве начини:</w:t>
      </w:r>
    </w:p>
    <w:p w14:paraId="26868004" w14:textId="5769BFD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во операции со само еден пилот;</w:t>
      </w:r>
    </w:p>
    <w:p w14:paraId="10E9DCAB" w14:textId="5EC7491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во операции со повеќе пилоти со дополнителни елементи за операции со само еден пилот како што е наведено во Додаток 9;</w:t>
      </w:r>
    </w:p>
    <w:p w14:paraId="76C33CF9" w14:textId="73F1FBF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(Б)</w:t>
      </w:r>
      <w:r w:rsidRPr="00D779B0">
        <w:rPr>
          <w:rFonts w:ascii="Times New Roman" w:hAnsi="Times New Roman" w:cs="Times New Roman"/>
          <w:color w:val="000000"/>
          <w:sz w:val="24"/>
          <w:szCs w:val="24"/>
        </w:rPr>
        <w:tab/>
        <w:t>за операции со повеќе пилоти, во операции со повеќе пилоти.</w:t>
      </w:r>
    </w:p>
    <w:p w14:paraId="3B0706C8" w14:textId="3E6129A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00CD69F2">
        <w:rPr>
          <w:rFonts w:ascii="Times New Roman" w:hAnsi="Times New Roman" w:cs="Times New Roman"/>
          <w:color w:val="000000"/>
          <w:sz w:val="24"/>
          <w:szCs w:val="24"/>
        </w:rPr>
        <w:tab/>
      </w:r>
      <w:r w:rsidRPr="00D779B0">
        <w:rPr>
          <w:rFonts w:ascii="Times New Roman" w:hAnsi="Times New Roman" w:cs="Times New Roman"/>
          <w:color w:val="000000"/>
          <w:sz w:val="24"/>
          <w:szCs w:val="24"/>
        </w:rPr>
        <w:t>дополнително, во случај на операции со повеќе пилоти во авиони со само еден пилот:</w:t>
      </w:r>
    </w:p>
    <w:p w14:paraId="179BF6E8" w14:textId="784C80D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ги исполнуваат условите што се наведени во:</w:t>
      </w:r>
    </w:p>
    <w:p w14:paraId="555BEA5C" w14:textId="10C2CE6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точка FCL.720.A(б)(4) или точка FCL.720.H(a)(2), како што е применливо;</w:t>
      </w:r>
    </w:p>
    <w:p w14:paraId="423AC195" w14:textId="3065957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точка FCL.720.A(б)(5), за авиони со само еден пилот, пред да започне обука за летање за операции со повеќе пилоти во согласност со точка FCL.725(г)(1)(i);</w:t>
      </w:r>
    </w:p>
    <w:p w14:paraId="63215C20" w14:textId="51A8AB8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ги остваруваат нивните права само во организација која е </w:t>
      </w:r>
      <w:r w:rsidR="00C31894" w:rsidRPr="00D779B0">
        <w:rPr>
          <w:rFonts w:ascii="Times New Roman" w:hAnsi="Times New Roman" w:cs="Times New Roman"/>
          <w:color w:val="000000"/>
          <w:sz w:val="24"/>
          <w:szCs w:val="24"/>
        </w:rPr>
        <w:t>подл</w:t>
      </w:r>
      <w:r w:rsidR="00C31894">
        <w:rPr>
          <w:rFonts w:ascii="Times New Roman" w:hAnsi="Times New Roman" w:cs="Times New Roman"/>
          <w:color w:val="000000"/>
          <w:sz w:val="24"/>
          <w:szCs w:val="24"/>
        </w:rPr>
        <w:t>о</w:t>
      </w:r>
      <w:r w:rsidR="00C31894" w:rsidRPr="00D779B0">
        <w:rPr>
          <w:rFonts w:ascii="Times New Roman" w:hAnsi="Times New Roman" w:cs="Times New Roman"/>
          <w:color w:val="000000"/>
          <w:sz w:val="24"/>
          <w:szCs w:val="24"/>
        </w:rPr>
        <w:t>жна</w:t>
      </w:r>
      <w:r w:rsidRPr="00D779B0">
        <w:rPr>
          <w:rFonts w:ascii="Times New Roman" w:hAnsi="Times New Roman" w:cs="Times New Roman"/>
          <w:color w:val="000000"/>
          <w:sz w:val="24"/>
          <w:szCs w:val="24"/>
        </w:rPr>
        <w:t xml:space="preserve"> на Анекс III (Дел-ОРО)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965/2012.</w:t>
      </w:r>
    </w:p>
    <w:p w14:paraId="11D82027" w14:textId="4EC923D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00CD69F2">
        <w:rPr>
          <w:rFonts w:ascii="Times New Roman" w:hAnsi="Times New Roman" w:cs="Times New Roman"/>
          <w:color w:val="000000"/>
          <w:sz w:val="24"/>
          <w:szCs w:val="24"/>
        </w:rPr>
        <w:tab/>
      </w:r>
      <w:r w:rsidRPr="00D779B0">
        <w:rPr>
          <w:rFonts w:ascii="Times New Roman" w:hAnsi="Times New Roman" w:cs="Times New Roman"/>
          <w:color w:val="000000"/>
          <w:sz w:val="24"/>
          <w:szCs w:val="24"/>
        </w:rPr>
        <w:t>Кога кандидатите за првичното издавање на овластување за тип на воздухоплов со само еден пилот ги завршуваат обуката за летање и тестот за вештини само во операции со повеќе пилоти, овластувањето за тип се издава со ограничување за операции со повеќе пилоти. Тоа ограничување се отстранува кога кандидатите завршуваат, во согласност со Додаток 9, дополнителна обука и проверка на стручноста што ги вклучува неопходните елементи за операции со само еден пилот.</w:t>
      </w:r>
    </w:p>
    <w:p w14:paraId="2B563A8E"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Во сите други случаи, формата на операција не се внесува во дозволата.“;</w:t>
      </w:r>
    </w:p>
    <w:p w14:paraId="261130E1" w14:textId="1BBCF95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се вметнуваат следниве точки (га) и (гб):</w:t>
      </w:r>
    </w:p>
    <w:p w14:paraId="7C8CF2AA" w14:textId="6ADCA44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„(га)</w:t>
      </w:r>
      <w:r w:rsidRPr="00D779B0">
        <w:rPr>
          <w:rFonts w:ascii="Times New Roman" w:hAnsi="Times New Roman" w:cs="Times New Roman"/>
          <w:color w:val="000000"/>
          <w:sz w:val="24"/>
          <w:szCs w:val="24"/>
        </w:rPr>
        <w:tab/>
        <w:t>Операции со само еден пилот и повеќе пилоти – овластувања за класа на авиони</w:t>
      </w:r>
    </w:p>
    <w:p w14:paraId="4646562C"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Правата на имателите на овластување за класа на авион со само еден пилот ги вклучуваат правата да летаат со авионот во операции со повеќе пилоти, под услов таквите иматели:</w:t>
      </w:r>
    </w:p>
    <w:p w14:paraId="1364BDEA" w14:textId="1F9F08B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да ги исполнуваат условите утврдени во:</w:t>
      </w:r>
    </w:p>
    <w:p w14:paraId="1AD66B03" w14:textId="004F395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точка FCL.720.A(б)(4);</w:t>
      </w:r>
    </w:p>
    <w:p w14:paraId="2ED423FD" w14:textId="7246A11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точка FCL.720.A(б)(5), пред да започне обука за летање за операции со повеќе пилоти во согласност со точка FCL.725(га)(2);</w:t>
      </w:r>
    </w:p>
    <w:p w14:paraId="1B7568D8" w14:textId="1465AD5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да завршиле обука за летање и да поминале проверка на стручноста за операции со повеќе пилоти во релевантната класа на авиони во согласност со Оддел Б, точка 5(е), од Додаток 9 во организација што е наведена во точка FCL.725(г)(1)(i); и</w:t>
      </w:r>
    </w:p>
    <w:p w14:paraId="0243E856" w14:textId="79438F3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 xml:space="preserve">да ги остваруваат нивните права само во организација која е </w:t>
      </w:r>
      <w:r w:rsidR="00C31894" w:rsidRPr="00D779B0">
        <w:rPr>
          <w:rFonts w:ascii="Times New Roman" w:hAnsi="Times New Roman" w:cs="Times New Roman"/>
          <w:color w:val="000000"/>
          <w:sz w:val="24"/>
          <w:szCs w:val="24"/>
        </w:rPr>
        <w:t>подл</w:t>
      </w:r>
      <w:r w:rsidR="00C31894">
        <w:rPr>
          <w:rFonts w:ascii="Times New Roman" w:hAnsi="Times New Roman" w:cs="Times New Roman"/>
          <w:color w:val="000000"/>
          <w:sz w:val="24"/>
          <w:szCs w:val="24"/>
        </w:rPr>
        <w:t>о</w:t>
      </w:r>
      <w:r w:rsidR="00C31894" w:rsidRPr="00D779B0">
        <w:rPr>
          <w:rFonts w:ascii="Times New Roman" w:hAnsi="Times New Roman" w:cs="Times New Roman"/>
          <w:color w:val="000000"/>
          <w:sz w:val="24"/>
          <w:szCs w:val="24"/>
        </w:rPr>
        <w:t>жна</w:t>
      </w:r>
      <w:r w:rsidRPr="00D779B0">
        <w:rPr>
          <w:rFonts w:ascii="Times New Roman" w:hAnsi="Times New Roman" w:cs="Times New Roman"/>
          <w:color w:val="000000"/>
          <w:sz w:val="24"/>
          <w:szCs w:val="24"/>
        </w:rPr>
        <w:t xml:space="preserve"> на Анекс III (Дел-ОРО)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965/2012.</w:t>
      </w:r>
    </w:p>
    <w:p w14:paraId="0234D1C2"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Дополнителни права за операции со повеќе пилоти во класа на авиони со само еден пилот не се внесуваат во дозволата.</w:t>
      </w:r>
    </w:p>
    <w:p w14:paraId="3F5FC0E4" w14:textId="04F510F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(гб)</w:t>
      </w:r>
      <w:r w:rsidRPr="00D779B0">
        <w:rPr>
          <w:rFonts w:ascii="Times New Roman" w:hAnsi="Times New Roman" w:cs="Times New Roman"/>
          <w:color w:val="000000"/>
          <w:sz w:val="24"/>
          <w:szCs w:val="24"/>
        </w:rPr>
        <w:tab/>
        <w:t>Доколку се спроведе тест за вештини или проверка на стручноста за класа или тип на воздухоплов со само еден пилот во едни од следниве операции, формата или формите на операција во кои се спроведува тој тест за вештини или проверка на стручноста се внесуваат во дневникот на кандидатите и се потпишуваат од испитувачот:</w:t>
      </w:r>
    </w:p>
    <w:p w14:paraId="5777CB41" w14:textId="7E55E5F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операции со повеќе пилоти;</w:t>
      </w:r>
    </w:p>
    <w:p w14:paraId="29BD6C68" w14:textId="7ED71B6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операции со само еден пилот и повеќе пилоти.“;</w:t>
      </w:r>
    </w:p>
    <w:p w14:paraId="62F4ABEB" w14:textId="51D01FA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(26)</w:t>
      </w:r>
      <w:r w:rsidRPr="00D779B0">
        <w:rPr>
          <w:rFonts w:ascii="Times New Roman" w:hAnsi="Times New Roman" w:cs="Times New Roman"/>
          <w:color w:val="000000"/>
          <w:sz w:val="24"/>
          <w:szCs w:val="24"/>
        </w:rPr>
        <w:tab/>
        <w:t>во точка FCL.740(б)(1), точките (ii) и (iii) се заменуваат со следново:</w:t>
      </w:r>
    </w:p>
    <w:p w14:paraId="5F7443EA" w14:textId="7618BFA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во DTO или во ATO, ако овластувањето со истечена важност се однесува на овластување за класа на SEP-авиони кои немаат високи перформанси, овластување за класа на TMG или овластување за тип на хеликоптери со еден мотор наведен во точка DTO.GEN.110 (а)(2)(в) од Анекс VIII;</w:t>
      </w:r>
    </w:p>
    <w:p w14:paraId="0A5E5748"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во DTO, во ATO или со инструктор, ако истечената важност на овластувањето не е повеќе од 3 години и овластувањето се однесува на овластување за класа на SEP-авиони кои немаат високи перформанси или овластување за класа на TMG;“;</w:t>
      </w:r>
    </w:p>
    <w:p w14:paraId="60470E84" w14:textId="3F4E06B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(27)</w:t>
      </w:r>
      <w:r w:rsidRPr="00D779B0">
        <w:rPr>
          <w:rFonts w:ascii="Times New Roman" w:hAnsi="Times New Roman" w:cs="Times New Roman"/>
          <w:color w:val="000000"/>
          <w:sz w:val="24"/>
          <w:szCs w:val="24"/>
        </w:rPr>
        <w:tab/>
        <w:t>точка FCL.720.A се изменува како што следува:</w:t>
      </w:r>
    </w:p>
    <w:p w14:paraId="2104C1FC" w14:textId="294574F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во точка (а), се бришат двата става помеѓу насловот „(а)</w:t>
      </w:r>
      <w:r w:rsidRPr="00D779B0">
        <w:rPr>
          <w:rFonts w:ascii="Times New Roman" w:hAnsi="Times New Roman" w:cs="Times New Roman"/>
          <w:color w:val="000000"/>
          <w:sz w:val="24"/>
          <w:szCs w:val="24"/>
        </w:rPr>
        <w:tab/>
        <w:t>Авиони со само еден пилот“ и насловот „(1)</w:t>
      </w:r>
      <w:r w:rsidRPr="00D779B0">
        <w:rPr>
          <w:rFonts w:ascii="Times New Roman" w:hAnsi="Times New Roman" w:cs="Times New Roman"/>
          <w:color w:val="000000"/>
          <w:sz w:val="24"/>
          <w:szCs w:val="24"/>
        </w:rPr>
        <w:tab/>
        <w:t>Авиони со повеќе мотори со само еден пилот“;</w:t>
      </w:r>
    </w:p>
    <w:p w14:paraId="4E92A6D4" w14:textId="3070527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во точка (б)(5), точка (i) се заменува со следново:</w:t>
      </w:r>
    </w:p>
    <w:p w14:paraId="6B16FB63" w14:textId="2FDB074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 xml:space="preserve">ги завршиле, во рамките на претходните 3 години, обуката и проверката во согласност со точките ORO.FC.220 или ORO.FC.230 од Анекс III (Дел-ORO)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965/2012;“;</w:t>
      </w:r>
    </w:p>
    <w:p w14:paraId="6BB70624" w14:textId="79025E6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точка (в) се заменува со следново:</w:t>
      </w:r>
    </w:p>
    <w:p w14:paraId="6773729C" w14:textId="0A6EEB2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И покрај точка FCL.720.A(б), на кандидатите кои го исполнуваат Оддел Б, точка 6(i), од Додаток 9, им се издава овластување за тип со ограничени права за авион со повеќе пилоти што им овозможува на имателите на такво овластување да дејствуваат во својство на копилоти на крстарење над ниво на лет 200, под услов двајца други членови на екипажот да имаат овластување за тип во согласност со точка FCL.720.A(б).</w:t>
      </w:r>
    </w:p>
    <w:p w14:paraId="5300BB4A"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За да се отстрани ограничувањето, кандидатите исполнуваат сѐ од следново:</w:t>
      </w:r>
    </w:p>
    <w:p w14:paraId="5E1DDFF2" w14:textId="00B2184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r>
      <w:r w:rsidR="00C31894">
        <w:rPr>
          <w:rFonts w:ascii="Times New Roman" w:hAnsi="Times New Roman" w:cs="Times New Roman"/>
          <w:color w:val="000000"/>
          <w:sz w:val="24"/>
          <w:szCs w:val="24"/>
        </w:rPr>
        <w:t>подложни се</w:t>
      </w:r>
      <w:r w:rsidR="00C31894"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на процена во ATO која ќе ги утврди нивните потреби за обука за отстранување на ограничувањето;</w:t>
      </w:r>
    </w:p>
    <w:p w14:paraId="3B252D7E" w14:textId="4844FCD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врз основа на процената наведена во точка (1), завршуваат, во таа ATO, обука која ќе им овозможи да го </w:t>
      </w:r>
      <w:r w:rsidR="00C31894" w:rsidRPr="00D779B0">
        <w:rPr>
          <w:rFonts w:ascii="Times New Roman" w:hAnsi="Times New Roman" w:cs="Times New Roman"/>
          <w:color w:val="000000"/>
          <w:sz w:val="24"/>
          <w:szCs w:val="24"/>
        </w:rPr>
        <w:t xml:space="preserve">постигнат </w:t>
      </w:r>
      <w:r w:rsidRPr="00D779B0">
        <w:rPr>
          <w:rFonts w:ascii="Times New Roman" w:hAnsi="Times New Roman" w:cs="Times New Roman"/>
          <w:color w:val="000000"/>
          <w:sz w:val="24"/>
          <w:szCs w:val="24"/>
        </w:rPr>
        <w:t>нивото на стручност за безбедна операција на воздухопловите;</w:t>
      </w:r>
    </w:p>
    <w:p w14:paraId="1C4F07CD" w14:textId="2944D33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 xml:space="preserve">по завршувањето на обуката наведена во точка (2), завршуваат тест за </w:t>
      </w:r>
      <w:r w:rsidRPr="00D779B0">
        <w:rPr>
          <w:rFonts w:ascii="Times New Roman" w:hAnsi="Times New Roman" w:cs="Times New Roman"/>
          <w:color w:val="000000"/>
          <w:sz w:val="24"/>
          <w:szCs w:val="24"/>
        </w:rPr>
        <w:lastRenderedPageBreak/>
        <w:t>вештини во согласност со Додаток 9;</w:t>
      </w:r>
    </w:p>
    <w:p w14:paraId="1EEB12D3" w14:textId="43EE7BC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по завршувањето на тестот за вештини наведен во точка (3), исполнуваат еден од следниве услови:</w:t>
      </w:r>
    </w:p>
    <w:p w14:paraId="5140B7FE" w14:textId="242CC86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 xml:space="preserve">ја исполнуваат точка ORO.FC.220(д) од Анекс III (Дел-ORO)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965/2012, под услов да ги исполнуваат условите за искуство наведени во точка FCL.730.A од </w:t>
      </w:r>
      <w:r w:rsidR="00C74D50">
        <w:rPr>
          <w:rFonts w:ascii="Times New Roman" w:hAnsi="Times New Roman" w:cs="Times New Roman"/>
          <w:color w:val="000000"/>
          <w:sz w:val="24"/>
          <w:szCs w:val="24"/>
        </w:rPr>
        <w:t>овој анекс</w:t>
      </w:r>
      <w:r w:rsidRPr="00D779B0">
        <w:rPr>
          <w:rFonts w:ascii="Times New Roman" w:hAnsi="Times New Roman" w:cs="Times New Roman"/>
          <w:color w:val="000000"/>
          <w:sz w:val="24"/>
          <w:szCs w:val="24"/>
        </w:rPr>
        <w:t>;</w:t>
      </w:r>
    </w:p>
    <w:p w14:paraId="3ADF71C7" w14:textId="1C0D583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завршуваат обука за летање на воздухопловот што вклучува маневри при полетување, слетување и продолжување на друг круг.“;</w:t>
      </w:r>
    </w:p>
    <w:p w14:paraId="291CA55A" w14:textId="65107F9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(28)</w:t>
      </w:r>
      <w:r w:rsidR="00D45155">
        <w:rPr>
          <w:rFonts w:ascii="Times New Roman" w:hAnsi="Times New Roman" w:cs="Times New Roman"/>
          <w:color w:val="000000"/>
          <w:sz w:val="24"/>
          <w:szCs w:val="24"/>
        </w:rPr>
        <w:tab/>
      </w:r>
      <w:r w:rsidRPr="00D779B0">
        <w:rPr>
          <w:rFonts w:ascii="Times New Roman" w:hAnsi="Times New Roman" w:cs="Times New Roman"/>
          <w:color w:val="000000"/>
          <w:sz w:val="24"/>
          <w:szCs w:val="24"/>
        </w:rPr>
        <w:t>во точка FCL.725.A, точка (в) се заменува со следново:</w:t>
      </w:r>
    </w:p>
    <w:p w14:paraId="4B00412A" w14:textId="5EAD949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за сложени авиони кои немаат високи перформанси со само еден пилот, сложени авиони со високи перформанси со само еден пилот и авиони со повеќе пилоти, курсевите за обука вклучуваат теоретско знаење за UPRT и оспособување за летање во врска со специфичностите на релевантната класа или тип. За оспособувањето за летање, може да се користат FSTD во согласност со Оддел А, точка 18 од Додаток 9.“;</w:t>
      </w:r>
    </w:p>
    <w:p w14:paraId="63D0CF6F" w14:textId="228A8A0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(29)</w:t>
      </w:r>
      <w:r w:rsidRPr="00D779B0">
        <w:rPr>
          <w:rFonts w:ascii="Times New Roman" w:hAnsi="Times New Roman" w:cs="Times New Roman"/>
          <w:color w:val="000000"/>
          <w:sz w:val="24"/>
          <w:szCs w:val="24"/>
        </w:rPr>
        <w:tab/>
        <w:t>во точка FCL.730.A(а), точките (1) и (2) се заменуваат со следново:</w:t>
      </w:r>
    </w:p>
    <w:p w14:paraId="5CB2B3BC" w14:textId="4C25F28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ако FFS квалификуван за ниво CG, C или привремено C се користи за време на курсот:</w:t>
      </w:r>
    </w:p>
    <w:p w14:paraId="4EA6080A" w14:textId="6796634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во случај на копилоти на крстарење, 1500 часа време на летање;</w:t>
      </w:r>
    </w:p>
    <w:p w14:paraId="68616B23" w14:textId="44FBA6D6" w:rsidR="008D4A7B"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во сите други случаи, 1500 часа време на летање или 250 </w:t>
      </w:r>
      <w:r w:rsidR="004B53AD" w:rsidRPr="00D779B0">
        <w:rPr>
          <w:rFonts w:ascii="Times New Roman" w:hAnsi="Times New Roman" w:cs="Times New Roman"/>
          <w:color w:val="000000"/>
          <w:sz w:val="24"/>
          <w:szCs w:val="24"/>
        </w:rPr>
        <w:t>сектори на рута</w:t>
      </w:r>
      <w:r w:rsidRPr="00D779B0">
        <w:rPr>
          <w:rFonts w:ascii="Times New Roman" w:hAnsi="Times New Roman" w:cs="Times New Roman"/>
          <w:color w:val="000000"/>
          <w:sz w:val="24"/>
          <w:szCs w:val="24"/>
        </w:rPr>
        <w:t>;</w:t>
      </w:r>
    </w:p>
    <w:p w14:paraId="528F522E" w14:textId="1871FF7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ако FFS квалификуван за ниво DG или D се користи за време на курсот:</w:t>
      </w:r>
    </w:p>
    <w:p w14:paraId="5F5093CA" w14:textId="1A2CE7C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во случај на копилоти на крстарење, 750 часа време на летање;</w:t>
      </w:r>
    </w:p>
    <w:p w14:paraId="3142877F" w14:textId="053C379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во сите други случаи, 500 часа време на летање или 100 </w:t>
      </w:r>
      <w:r w:rsidR="004B53AD" w:rsidRPr="00D779B0">
        <w:rPr>
          <w:rFonts w:ascii="Times New Roman" w:hAnsi="Times New Roman" w:cs="Times New Roman"/>
          <w:color w:val="000000"/>
          <w:sz w:val="24"/>
          <w:szCs w:val="24"/>
        </w:rPr>
        <w:t>сектори на рута</w:t>
      </w:r>
      <w:r w:rsidRPr="00D779B0">
        <w:rPr>
          <w:rFonts w:ascii="Times New Roman" w:hAnsi="Times New Roman" w:cs="Times New Roman"/>
          <w:color w:val="000000"/>
          <w:sz w:val="24"/>
          <w:szCs w:val="24"/>
        </w:rPr>
        <w:t>.“;</w:t>
      </w:r>
    </w:p>
    <w:p w14:paraId="6054E82E" w14:textId="5D77443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(30)</w:t>
      </w:r>
      <w:r w:rsidRPr="00D779B0">
        <w:rPr>
          <w:rFonts w:ascii="Times New Roman" w:hAnsi="Times New Roman" w:cs="Times New Roman"/>
          <w:color w:val="000000"/>
          <w:sz w:val="24"/>
          <w:szCs w:val="24"/>
        </w:rPr>
        <w:tab/>
        <w:t>точка FCL.740.A(б) се изменува како што следува:</w:t>
      </w:r>
    </w:p>
    <w:p w14:paraId="345C0CC5" w14:textId="3045B3A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точка (1) се изменува како што следува:</w:t>
      </w:r>
    </w:p>
    <w:p w14:paraId="4A62B629" w14:textId="1B85BB0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воведната фраза се заменува со следново:</w:t>
      </w:r>
    </w:p>
    <w:p w14:paraId="47F31F81"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Овластувања за класа на SEP-авиони и овластувања за класа на TMG. За повторното потврдување на важноста на овластувањата за класата на SEP-авиони или овластувањата за класа на TMG, кандидатите:“;</w:t>
      </w:r>
    </w:p>
    <w:p w14:paraId="550C852F" w14:textId="7CB9E1E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точка (ii) се заменува со следново:</w:t>
      </w:r>
    </w:p>
    <w:p w14:paraId="5C5E3670" w14:textId="722C3E4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во рок од 12 месеци пред датумот на истекување на овластувањето, завршуваат 12 часа време на летање во релевантната класа, </w:t>
      </w:r>
      <w:r w:rsidR="00C31894">
        <w:rPr>
          <w:rFonts w:ascii="Times New Roman" w:hAnsi="Times New Roman" w:cs="Times New Roman"/>
          <w:color w:val="000000"/>
          <w:sz w:val="24"/>
          <w:szCs w:val="24"/>
        </w:rPr>
        <w:t xml:space="preserve">вклучително и </w:t>
      </w:r>
      <w:r w:rsidRPr="00D779B0">
        <w:rPr>
          <w:rFonts w:ascii="Times New Roman" w:hAnsi="Times New Roman" w:cs="Times New Roman"/>
          <w:color w:val="000000"/>
          <w:sz w:val="24"/>
          <w:szCs w:val="24"/>
        </w:rPr>
        <w:t>следново:</w:t>
      </w:r>
    </w:p>
    <w:p w14:paraId="255B42C7" w14:textId="784F551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6 часа како PIC;</w:t>
      </w:r>
    </w:p>
    <w:p w14:paraId="391D88D6" w14:textId="0E1557F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(Б)</w:t>
      </w:r>
      <w:r w:rsidRPr="00D779B0">
        <w:rPr>
          <w:rFonts w:ascii="Times New Roman" w:hAnsi="Times New Roman" w:cs="Times New Roman"/>
          <w:color w:val="000000"/>
          <w:sz w:val="24"/>
          <w:szCs w:val="24"/>
        </w:rPr>
        <w:tab/>
        <w:t>12 полетувања и слетувања;</w:t>
      </w:r>
    </w:p>
    <w:p w14:paraId="3D174A97" w14:textId="63D94D1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обука за обновување на знаењето од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1 час од вкупното време на летање со и со одобрение на инструктор по летање (FI) или инструктор за овластување за класа (CRI) кој ги избира оние вежби за летање што му овозможуваат на кандидатот да ја обнови неговата компетентност за безбедна операција на воздухопловот и применувајќи стандардни процедури и процедури за невообичаени ситуации и за опасни ситуации. Кандидатите се изземаат од оваа обука за обновување на знаењето доколку поминале </w:t>
      </w:r>
      <w:r w:rsidR="00D33DE6" w:rsidRPr="00D779B0">
        <w:rPr>
          <w:rFonts w:ascii="Times New Roman" w:hAnsi="Times New Roman" w:cs="Times New Roman"/>
          <w:color w:val="000000"/>
          <w:sz w:val="24"/>
          <w:szCs w:val="24"/>
        </w:rPr>
        <w:t xml:space="preserve">што било </w:t>
      </w:r>
      <w:r w:rsidRPr="00D779B0">
        <w:rPr>
          <w:rFonts w:ascii="Times New Roman" w:hAnsi="Times New Roman" w:cs="Times New Roman"/>
          <w:color w:val="000000"/>
          <w:sz w:val="24"/>
          <w:szCs w:val="24"/>
        </w:rPr>
        <w:t xml:space="preserve">од следново, во која </w:t>
      </w:r>
      <w:r w:rsidR="00D33DE6" w:rsidRPr="00D779B0">
        <w:rPr>
          <w:rFonts w:ascii="Times New Roman" w:hAnsi="Times New Roman" w:cs="Times New Roman"/>
          <w:color w:val="000000"/>
          <w:sz w:val="24"/>
          <w:szCs w:val="24"/>
        </w:rPr>
        <w:t xml:space="preserve">било </w:t>
      </w:r>
      <w:r w:rsidRPr="00D779B0">
        <w:rPr>
          <w:rFonts w:ascii="Times New Roman" w:hAnsi="Times New Roman" w:cs="Times New Roman"/>
          <w:color w:val="000000"/>
          <w:sz w:val="24"/>
          <w:szCs w:val="24"/>
        </w:rPr>
        <w:t>класа или тип на авион:</w:t>
      </w:r>
    </w:p>
    <w:p w14:paraId="41955C52" w14:textId="2270754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00CD69F2">
        <w:rPr>
          <w:rFonts w:ascii="Times New Roman" w:hAnsi="Times New Roman" w:cs="Times New Roman"/>
          <w:color w:val="000000"/>
          <w:sz w:val="24"/>
          <w:szCs w:val="24"/>
        </w:rPr>
        <w:tab/>
      </w:r>
      <w:r w:rsidRPr="00D779B0">
        <w:rPr>
          <w:rFonts w:ascii="Times New Roman" w:hAnsi="Times New Roman" w:cs="Times New Roman"/>
          <w:color w:val="000000"/>
          <w:sz w:val="24"/>
          <w:szCs w:val="24"/>
        </w:rPr>
        <w:t>проверка на стручноста за класа или тип;</w:t>
      </w:r>
    </w:p>
    <w:p w14:paraId="1A038AFC" w14:textId="00EBC99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тест за вештини;</w:t>
      </w:r>
    </w:p>
    <w:p w14:paraId="14F7AD2E" w14:textId="1286BCB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практична процена по EBT;</w:t>
      </w:r>
    </w:p>
    <w:p w14:paraId="7CBB8A0F" w14:textId="15925CA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процена на компетентност.“;</w:t>
      </w:r>
    </w:p>
    <w:p w14:paraId="41AC652C" w14:textId="37C8369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точка (2) се заменува со следново:</w:t>
      </w:r>
    </w:p>
    <w:p w14:paraId="0DB22F6A" w14:textId="184DFC6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Кога кандидатите поседуваат и овластување за класа на SEP-авиони кои слетуваат на копно и овластување за класа на TMG, тие може да ги исполнат условите од точка (1) во </w:t>
      </w:r>
      <w:r w:rsidR="00D33DE6" w:rsidRPr="00D779B0">
        <w:rPr>
          <w:rFonts w:ascii="Times New Roman" w:hAnsi="Times New Roman" w:cs="Times New Roman"/>
          <w:color w:val="000000"/>
          <w:sz w:val="24"/>
          <w:szCs w:val="24"/>
        </w:rPr>
        <w:t xml:space="preserve">која било </w:t>
      </w:r>
      <w:r w:rsidRPr="00D779B0">
        <w:rPr>
          <w:rFonts w:ascii="Times New Roman" w:hAnsi="Times New Roman" w:cs="Times New Roman"/>
          <w:color w:val="000000"/>
          <w:sz w:val="24"/>
          <w:szCs w:val="24"/>
        </w:rPr>
        <w:t xml:space="preserve">класа или комбинација од тие класи и да </w:t>
      </w:r>
      <w:r w:rsidR="00C31894" w:rsidRPr="00D779B0">
        <w:rPr>
          <w:rFonts w:ascii="Times New Roman" w:hAnsi="Times New Roman" w:cs="Times New Roman"/>
          <w:color w:val="000000"/>
          <w:sz w:val="24"/>
          <w:szCs w:val="24"/>
        </w:rPr>
        <w:t xml:space="preserve">постигнат </w:t>
      </w:r>
      <w:r w:rsidRPr="00D779B0">
        <w:rPr>
          <w:rFonts w:ascii="Times New Roman" w:hAnsi="Times New Roman" w:cs="Times New Roman"/>
          <w:color w:val="000000"/>
          <w:sz w:val="24"/>
          <w:szCs w:val="24"/>
        </w:rPr>
        <w:t>повторно потврдување на важноста на двете овластувањата.“;</w:t>
      </w:r>
    </w:p>
    <w:p w14:paraId="07D1B49A" w14:textId="3A5E14A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точка (4) се заменува со следново:</w:t>
      </w:r>
    </w:p>
    <w:p w14:paraId="130A292D" w14:textId="74E6797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 xml:space="preserve">Кога кандидатите поседуваат и овластување за SEP-авиони кои слетуваат на копно и овластување за класа на SEP-авиони кои слетуваат на површината на водата, тие може да ги исполнат условите од точка (1) во </w:t>
      </w:r>
      <w:r w:rsidR="00D33DE6" w:rsidRPr="00D779B0">
        <w:rPr>
          <w:rFonts w:ascii="Times New Roman" w:hAnsi="Times New Roman" w:cs="Times New Roman"/>
          <w:color w:val="000000"/>
          <w:sz w:val="24"/>
          <w:szCs w:val="24"/>
        </w:rPr>
        <w:t xml:space="preserve">која било </w:t>
      </w:r>
      <w:r w:rsidRPr="00D779B0">
        <w:rPr>
          <w:rFonts w:ascii="Times New Roman" w:hAnsi="Times New Roman" w:cs="Times New Roman"/>
          <w:color w:val="000000"/>
          <w:sz w:val="24"/>
          <w:szCs w:val="24"/>
        </w:rPr>
        <w:t xml:space="preserve">класа или комбинација од тие класи и да </w:t>
      </w:r>
      <w:r w:rsidR="00C31894" w:rsidRPr="00D779B0">
        <w:rPr>
          <w:rFonts w:ascii="Times New Roman" w:hAnsi="Times New Roman" w:cs="Times New Roman"/>
          <w:color w:val="000000"/>
          <w:sz w:val="24"/>
          <w:szCs w:val="24"/>
        </w:rPr>
        <w:t xml:space="preserve">постигнат </w:t>
      </w:r>
      <w:r w:rsidRPr="00D779B0">
        <w:rPr>
          <w:rFonts w:ascii="Times New Roman" w:hAnsi="Times New Roman" w:cs="Times New Roman"/>
          <w:color w:val="000000"/>
          <w:sz w:val="24"/>
          <w:szCs w:val="24"/>
        </w:rPr>
        <w:t xml:space="preserve">исполнување на тие услови за двете овластувањата.“; Во секоја класа се завршуваат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1 час од потребното време како PIC и 6 од потребните 12 полетувања и 12 слетувања.“;</w:t>
      </w:r>
    </w:p>
    <w:p w14:paraId="07DA63CA" w14:textId="425B8D4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(31)</w:t>
      </w:r>
      <w:r w:rsidRPr="00D779B0">
        <w:rPr>
          <w:rFonts w:ascii="Times New Roman" w:hAnsi="Times New Roman" w:cs="Times New Roman"/>
          <w:color w:val="000000"/>
          <w:sz w:val="24"/>
          <w:szCs w:val="24"/>
        </w:rPr>
        <w:tab/>
        <w:t>во точка FCL.745.A(a), точка (3) се заменува со следново:</w:t>
      </w:r>
    </w:p>
    <w:p w14:paraId="6032F7F3" w14:textId="1BC3DB7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3 часа оспособување за летање со инструктор со инструктор по летање за авиони FI(A) квалификуван во согласност со точка FCL.915(д) и напредна UPRT во авион квалификуван за задачата за обука. Времето на летање што не вклучува напредна UPRT, но служи за одење или враќање од областа за UPRT, не се смета во тие 3 часа.“;</w:t>
      </w:r>
    </w:p>
    <w:p w14:paraId="1E5F0EA1" w14:textId="4D81F83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(32)</w:t>
      </w:r>
      <w:r w:rsidRPr="00D779B0">
        <w:rPr>
          <w:rFonts w:ascii="Times New Roman" w:hAnsi="Times New Roman" w:cs="Times New Roman"/>
          <w:color w:val="000000"/>
          <w:sz w:val="24"/>
          <w:szCs w:val="24"/>
        </w:rPr>
        <w:tab/>
        <w:t>точка FCL.740.H се заменува со следново:</w:t>
      </w:r>
    </w:p>
    <w:p w14:paraId="3FC0F8CD"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„FCL.740.H Повторно потврдување на важноста на овластувањата за тип – хеликоптери</w:t>
      </w:r>
    </w:p>
    <w:p w14:paraId="6915A0CB" w14:textId="3B859AF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Повторно потврдување на важноста. За повторното потврдување на важноста на овластувањата за тип на хеликоптери, кандидатите исполнуваат едно од следново, како што е применливо:</w:t>
      </w:r>
    </w:p>
    <w:p w14:paraId="7DC68128" w14:textId="512963D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(1)</w:t>
      </w:r>
      <w:r w:rsidRPr="00D779B0">
        <w:rPr>
          <w:rFonts w:ascii="Times New Roman" w:hAnsi="Times New Roman" w:cs="Times New Roman"/>
          <w:color w:val="000000"/>
          <w:sz w:val="24"/>
          <w:szCs w:val="24"/>
        </w:rPr>
        <w:tab/>
        <w:t>ги преземаат следниве чекори:</w:t>
      </w:r>
    </w:p>
    <w:p w14:paraId="4DBC4590" w14:textId="48CE98C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 xml:space="preserve">во рамките на периодот на важноста на овластувањето за тип, завршуваат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2 часа како пилот на соодветниот тип на хеликоптер;</w:t>
      </w:r>
    </w:p>
    <w:p w14:paraId="4AC571E4" w14:textId="2C0E3C9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во рок од 3 месеци непосредно пред датумот на истекување на овластувањето за тип, поминуваат проверка на стручноста:</w:t>
      </w:r>
    </w:p>
    <w:p w14:paraId="13AF03BC" w14:textId="39C52C2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што се спроведува во согласност со Додаток 9 на релевантниот тип на хеликоптер или FSTD што го претставува тој тип;</w:t>
      </w:r>
    </w:p>
    <w:p w14:paraId="3C2EF6D9" w14:textId="10596BA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чие времетраење може да се смета во времето на летање наведено во точка (i);</w:t>
      </w:r>
    </w:p>
    <w:p w14:paraId="70C0BB78" w14:textId="66BF4E0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за овластувања за тип за хеликоптери со еден мотор до максимална маса на полетување од 3 175 kg, исполнуваат еден од следниве услови:</w:t>
      </w:r>
    </w:p>
    <w:p w14:paraId="2CE4E63A" w14:textId="417FC7A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ја исполнуваат точка (a)(1);</w:t>
      </w:r>
    </w:p>
    <w:p w14:paraId="64610DD1" w14:textId="3E0881B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ги завршуваат, на релевантниот тип на хеликоптер, двете од следново:</w:t>
      </w:r>
    </w:p>
    <w:p w14:paraId="7A5C0774" w14:textId="38C70BB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 xml:space="preserve">во рамките на периодот на важноста на овластувањето за тип,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6 часа како PIC;</w:t>
      </w:r>
    </w:p>
    <w:p w14:paraId="3796E8FF" w14:textId="471A338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во рок од 3 месеци непосредно пред датумот на истекување на овластувањето, обука за обновување на знаењето од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1 час од вкупното време на летање со и со одобрение на инструктор кој ги избира оние вежби за летање што му овозможуваат на кандидатот да ја обнови неговата компетентност за безбедна операција на воздухопловот и применувајќи стандардни процедури и процедури за невообичаени ситуации и за опасни ситуации. Кандидатите може да изберат да ја завршат обуката за обновување на знаењето на воздухопловот или FSTD што го претставува релевантниот тип, или во комбинација од двете.</w:t>
      </w:r>
    </w:p>
    <w:p w14:paraId="33756238" w14:textId="296C56A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Кога кандидатите поседуваат повеќе од едно овластување за тип на SEP-хеликоптери, тие може да </w:t>
      </w:r>
      <w:r w:rsidR="00C31894" w:rsidRPr="00D779B0">
        <w:rPr>
          <w:rFonts w:ascii="Times New Roman" w:hAnsi="Times New Roman" w:cs="Times New Roman"/>
          <w:color w:val="000000"/>
          <w:sz w:val="24"/>
          <w:szCs w:val="24"/>
        </w:rPr>
        <w:t xml:space="preserve">постигнат </w:t>
      </w:r>
      <w:r w:rsidRPr="00D779B0">
        <w:rPr>
          <w:rFonts w:ascii="Times New Roman" w:hAnsi="Times New Roman" w:cs="Times New Roman"/>
          <w:color w:val="000000"/>
          <w:sz w:val="24"/>
          <w:szCs w:val="24"/>
        </w:rPr>
        <w:t xml:space="preserve">повторно потврдување на важноста на сите релевантни овластувања за тип со поминување на проверката на стручноста во согласност со точка (а)(1)(ii) или завршување на обуката за обновување на знаењето во согласност со точка (а)(2)(ii)(Б) само на еден од релевантните типови кои ги поседуваат, под услов да завршиле </w:t>
      </w:r>
      <w:r w:rsidR="00D33DE6" w:rsidRPr="00D779B0">
        <w:rPr>
          <w:rFonts w:ascii="Times New Roman" w:hAnsi="Times New Roman" w:cs="Times New Roman"/>
          <w:color w:val="000000"/>
          <w:sz w:val="24"/>
          <w:szCs w:val="24"/>
        </w:rPr>
        <w:t>кое</w:t>
      </w:r>
      <w:r w:rsidRPr="00D779B0">
        <w:rPr>
          <w:rFonts w:ascii="Times New Roman" w:hAnsi="Times New Roman" w:cs="Times New Roman"/>
          <w:color w:val="000000"/>
          <w:sz w:val="24"/>
          <w:szCs w:val="24"/>
        </w:rPr>
        <w:t xml:space="preserve"> </w:t>
      </w:r>
      <w:r w:rsidR="00D33DE6" w:rsidRPr="00D779B0">
        <w:rPr>
          <w:rFonts w:ascii="Times New Roman" w:hAnsi="Times New Roman" w:cs="Times New Roman"/>
          <w:color w:val="000000"/>
          <w:sz w:val="24"/>
          <w:szCs w:val="24"/>
        </w:rPr>
        <w:t>било</w:t>
      </w:r>
      <w:r w:rsidR="00D33DE6" w:rsidRPr="00D33DE6">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од следниве времиња на летање како PIC во секој од другите релевантни типови за време на периодот на важноста:</w:t>
      </w:r>
    </w:p>
    <w:p w14:paraId="3945C12E" w14:textId="3C46317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ако завршиле проверка на стручноста во согласност со точка (а)(1)(ii),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2 часа;</w:t>
      </w:r>
    </w:p>
    <w:p w14:paraId="4410DC73" w14:textId="6BE5984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ако завршиле обука за обновување на знаењето во согласност со точка (а)(2)(ii)(B),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6 часа;</w:t>
      </w:r>
    </w:p>
    <w:p w14:paraId="55E60057"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Проверката на стручноста или обуката за обновување на знаењето, како што е применливо, се врши секој пат на различен тип. Новиот период на важноста на сите овластувања за тип со повторно потврдена важност во согласност со оваа точка, започнува заедно со периодот на важноста на овластувањето за тип за кое </w:t>
      </w:r>
      <w:r w:rsidRPr="00D779B0">
        <w:rPr>
          <w:rFonts w:ascii="Times New Roman" w:hAnsi="Times New Roman" w:cs="Times New Roman"/>
          <w:color w:val="000000"/>
          <w:sz w:val="24"/>
          <w:szCs w:val="24"/>
        </w:rPr>
        <w:lastRenderedPageBreak/>
        <w:t>се врши проверката на стручноста или обуката за обновување на знаењето.</w:t>
      </w:r>
    </w:p>
    <w:p w14:paraId="73A7FE44" w14:textId="08882C5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 xml:space="preserve">Кога кандидатите поседуваат повеќе од едно овластување за тип на SET-хеликоптери со максимално одобрена маса на полетување до 3 175 kg, тие може да </w:t>
      </w:r>
      <w:r w:rsidR="00C31894" w:rsidRPr="00D779B0">
        <w:rPr>
          <w:rFonts w:ascii="Times New Roman" w:hAnsi="Times New Roman" w:cs="Times New Roman"/>
          <w:color w:val="000000"/>
          <w:sz w:val="24"/>
          <w:szCs w:val="24"/>
        </w:rPr>
        <w:t xml:space="preserve">постигнат </w:t>
      </w:r>
      <w:r w:rsidRPr="00D779B0">
        <w:rPr>
          <w:rFonts w:ascii="Times New Roman" w:hAnsi="Times New Roman" w:cs="Times New Roman"/>
          <w:color w:val="000000"/>
          <w:sz w:val="24"/>
          <w:szCs w:val="24"/>
        </w:rPr>
        <w:t>повторно потврдување на важноста на сите релевантни овластувања за тип со поминување на проверката на стручноста во согласност со точка (а)(1)(ii) или завршување на обуката за обновување на знаењето во согласност со точка (а)(2)(ii)(Б) само на еден од релевантните типови кои ги поседуваат, под услов да завршиле сѐ од следново:</w:t>
      </w:r>
    </w:p>
    <w:p w14:paraId="0ED26FCA" w14:textId="499BE6B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300 часа како PIC на хеликоптери;</w:t>
      </w:r>
    </w:p>
    <w:p w14:paraId="3A17603D" w14:textId="18DA583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15 часа на секој од типовите за кои имаат овластување;</w:t>
      </w:r>
    </w:p>
    <w:p w14:paraId="1F3A078B" w14:textId="6B1AE8EA" w:rsidR="00F564C9"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r>
      <w:r w:rsidR="00D33DE6" w:rsidRPr="00D779B0">
        <w:rPr>
          <w:rFonts w:ascii="Times New Roman" w:hAnsi="Times New Roman" w:cs="Times New Roman"/>
          <w:color w:val="000000"/>
          <w:sz w:val="24"/>
          <w:szCs w:val="24"/>
        </w:rPr>
        <w:t xml:space="preserve">кое било </w:t>
      </w:r>
      <w:r w:rsidRPr="00D779B0">
        <w:rPr>
          <w:rFonts w:ascii="Times New Roman" w:hAnsi="Times New Roman" w:cs="Times New Roman"/>
          <w:color w:val="000000"/>
          <w:sz w:val="24"/>
          <w:szCs w:val="24"/>
        </w:rPr>
        <w:t>од следниве времиња на летање како PIC на секој од другите релевантни типови за време на периодот на важноста:</w:t>
      </w:r>
    </w:p>
    <w:p w14:paraId="2DD3E56B" w14:textId="02663FE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 xml:space="preserve">ако завршиле проверка на стручноста во согласност со точката (а)(1)(ii),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2 часа;</w:t>
      </w:r>
    </w:p>
    <w:p w14:paraId="35150ADF" w14:textId="27ADAA1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ако завршиле обука за обновување на знаењето во согласност со точка (а)(2)(ii)(B),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6 часа;</w:t>
      </w:r>
    </w:p>
    <w:p w14:paraId="034ECE0E"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Проверката на стручноста се врши секој пат на различен тип. Новиот период на важноста на сите овластувања за тип со повторно потврдена важност во согласност со оваа точка, започнува заедно со периодот на важноста на овластувањето за тип за кое се завршува проверката на стручноста или обуката за обновување на знаењето.</w:t>
      </w:r>
    </w:p>
    <w:p w14:paraId="014395AE" w14:textId="403353B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Кандидатите кои успешно завршуваат тест за вештини за стекнување на дополнително овластување за тип или проверка на стручноста за обновувањето на овластување за тип, добиваат повторно потврдување на важноста на релевантните овластувања за тип кои веќе ги поседуваат во заедничките групи, како што е наведено во точките (б) и (в).</w:t>
      </w:r>
    </w:p>
    <w:p w14:paraId="18D1D63C"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Новиот период на важноста на сите овластувања за тип со повторно потврдена важност во согласност со оваа точка, започнува заедно со периодот на важноста на овластувањето за тип за кое се завршува тестот за вештини или проверката на стручноста.</w:t>
      </w:r>
    </w:p>
    <w:p w14:paraId="451471BD" w14:textId="5C5ECF5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(д)</w:t>
      </w:r>
      <w:r w:rsidRPr="00D779B0">
        <w:rPr>
          <w:rFonts w:ascii="Times New Roman" w:hAnsi="Times New Roman" w:cs="Times New Roman"/>
          <w:color w:val="000000"/>
          <w:sz w:val="24"/>
          <w:szCs w:val="24"/>
        </w:rPr>
        <w:tab/>
        <w:t>Повторното продолжување на важноста на IR(H), доколку се поседува, може да се комбинира со проверка на стручноста за овластување за тип.</w:t>
      </w:r>
    </w:p>
    <w:p w14:paraId="3C5C4458" w14:textId="4C62871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(ѓ)</w:t>
      </w:r>
      <w:r w:rsidRPr="00D779B0">
        <w:rPr>
          <w:rFonts w:ascii="Times New Roman" w:hAnsi="Times New Roman" w:cs="Times New Roman"/>
          <w:color w:val="000000"/>
          <w:sz w:val="24"/>
          <w:szCs w:val="24"/>
        </w:rPr>
        <w:tab/>
        <w:t xml:space="preserve">Кандидатите кои не успеале да поминат на сите делови од проверката на стручноста пред истекот на датумот на истекување на овластувањето за тип, не ги остваруваат правата на тоа овластување сѐ додека успешно не ја поминат проверката на стручноста. Во случај на точките (б) и (в), кандидатите не ги остваруваат нивните права на </w:t>
      </w:r>
      <w:r w:rsidR="00D33DE6" w:rsidRPr="00D779B0">
        <w:rPr>
          <w:rFonts w:ascii="Times New Roman" w:hAnsi="Times New Roman" w:cs="Times New Roman"/>
          <w:color w:val="000000"/>
          <w:sz w:val="24"/>
          <w:szCs w:val="24"/>
        </w:rPr>
        <w:t xml:space="preserve">кој било </w:t>
      </w:r>
      <w:r w:rsidRPr="00D779B0">
        <w:rPr>
          <w:rFonts w:ascii="Times New Roman" w:hAnsi="Times New Roman" w:cs="Times New Roman"/>
          <w:color w:val="000000"/>
          <w:sz w:val="24"/>
          <w:szCs w:val="24"/>
        </w:rPr>
        <w:t>од типовите.“;</w:t>
      </w:r>
    </w:p>
    <w:p w14:paraId="3AB6CA79" w14:textId="1A9216A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(33)</w:t>
      </w:r>
      <w:r w:rsidRPr="00D779B0">
        <w:rPr>
          <w:rFonts w:ascii="Times New Roman" w:hAnsi="Times New Roman" w:cs="Times New Roman"/>
          <w:color w:val="000000"/>
          <w:sz w:val="24"/>
          <w:szCs w:val="24"/>
        </w:rPr>
        <w:tab/>
        <w:t>во точка FCL.810(a), точка (3) се заменува со следново:</w:t>
      </w:r>
    </w:p>
    <w:p w14:paraId="11824A05" w14:textId="7AE5C60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 xml:space="preserve">Кога кандидатите поседуваат и овластување за класа на SEP-авиони кои </w:t>
      </w:r>
      <w:r w:rsidRPr="00D779B0">
        <w:rPr>
          <w:rFonts w:ascii="Times New Roman" w:hAnsi="Times New Roman" w:cs="Times New Roman"/>
          <w:color w:val="000000"/>
          <w:sz w:val="24"/>
          <w:szCs w:val="24"/>
        </w:rPr>
        <w:lastRenderedPageBreak/>
        <w:t xml:space="preserve">слетуваат на копно и овластување за класа на TMG, тие може да ги исполнат условите во точка (1) во </w:t>
      </w:r>
      <w:r w:rsidR="00D33DE6" w:rsidRPr="00D779B0">
        <w:rPr>
          <w:rFonts w:ascii="Times New Roman" w:hAnsi="Times New Roman" w:cs="Times New Roman"/>
          <w:color w:val="000000"/>
          <w:sz w:val="24"/>
          <w:szCs w:val="24"/>
        </w:rPr>
        <w:t xml:space="preserve">која било </w:t>
      </w:r>
      <w:r w:rsidRPr="00D779B0">
        <w:rPr>
          <w:rFonts w:ascii="Times New Roman" w:hAnsi="Times New Roman" w:cs="Times New Roman"/>
          <w:color w:val="000000"/>
          <w:sz w:val="24"/>
          <w:szCs w:val="24"/>
        </w:rPr>
        <w:t>класа или во двете класи.“;</w:t>
      </w:r>
    </w:p>
    <w:p w14:paraId="4E5E4EEC" w14:textId="4C3E8AA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(34)</w:t>
      </w:r>
      <w:r w:rsidRPr="00D779B0">
        <w:rPr>
          <w:rFonts w:ascii="Times New Roman" w:hAnsi="Times New Roman" w:cs="Times New Roman"/>
          <w:color w:val="000000"/>
          <w:sz w:val="24"/>
          <w:szCs w:val="24"/>
        </w:rPr>
        <w:tab/>
        <w:t>точка FCL.815 се изменува како што следува:</w:t>
      </w:r>
    </w:p>
    <w:p w14:paraId="13069AEA" w14:textId="73FC900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точка (г) се заменува со следново:</w:t>
      </w:r>
    </w:p>
    <w:p w14:paraId="7F71BB0D" w14:textId="1A5A3AD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Со цел да ги оствари правата на овластување за планински терен, имателот на овластувањето, во последните 2 години, исполнува еден од следниве услови:</w:t>
      </w:r>
    </w:p>
    <w:p w14:paraId="4921DCD4" w14:textId="5BEA4B9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завршува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шест слетувања на површина определена за овластување за планински терен;</w:t>
      </w:r>
    </w:p>
    <w:p w14:paraId="33219BA4" w14:textId="0ECFA5A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поминува проверка на стручноста што е во согласност со условите во точка (в). Завршувањето на проверката на стручноста се внесува во дневникот на пилотот и се потпишува од одговорниот испитувач.“;</w:t>
      </w:r>
    </w:p>
    <w:p w14:paraId="2B5CA843" w14:textId="3593E13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се бришат точките (д) и (ѓ).</w:t>
      </w:r>
    </w:p>
    <w:p w14:paraId="1CAFE956" w14:textId="219D591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(35)</w:t>
      </w:r>
      <w:r w:rsidRPr="00D779B0">
        <w:rPr>
          <w:rFonts w:ascii="Times New Roman" w:hAnsi="Times New Roman" w:cs="Times New Roman"/>
          <w:color w:val="000000"/>
          <w:sz w:val="24"/>
          <w:szCs w:val="24"/>
        </w:rPr>
        <w:tab/>
        <w:t>точка FCL.820(б) се изменува како што следува:</w:t>
      </w:r>
    </w:p>
    <w:p w14:paraId="2397374D" w14:textId="2427F77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воведната фраза се заменува со следново:</w:t>
      </w:r>
    </w:p>
    <w:p w14:paraId="7B313B24"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„Обврската да се поседува овластување за тестирање во лет утврдена во точка (а) се применува само за тестирањата во лет спроведени на:“;</w:t>
      </w:r>
    </w:p>
    <w:p w14:paraId="2AB6E0CC" w14:textId="0EE26E3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во точка (в)(2), точка (ii) се заменува со следново:</w:t>
      </w:r>
    </w:p>
    <w:p w14:paraId="44DAAA61" w14:textId="5F5B0CE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стандардите на CS-23 или еквивалентни правила за пловидбеност, освен за авиони со максимална маса на полетување од 2 000 kg или помалку.“;</w:t>
      </w:r>
    </w:p>
    <w:p w14:paraId="13C734E4" w14:textId="3266363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(36)</w:t>
      </w:r>
      <w:r w:rsidRPr="00D779B0">
        <w:rPr>
          <w:rFonts w:ascii="Times New Roman" w:hAnsi="Times New Roman" w:cs="Times New Roman"/>
          <w:color w:val="000000"/>
          <w:sz w:val="24"/>
          <w:szCs w:val="24"/>
        </w:rPr>
        <w:tab/>
        <w:t>во точка FCL.835(a), точка (1) се заменува со следново:</w:t>
      </w:r>
    </w:p>
    <w:p w14:paraId="5C44C6A6" w14:textId="33E7098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Правата на имателот на БИР се да врши летања по IFR на авиони со само еден пилот за кои поседува овластувања за класа, со исклучок на следново:</w:t>
      </w:r>
    </w:p>
    <w:p w14:paraId="5585B482" w14:textId="146FECD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авиони со високи перформанси;</w:t>
      </w:r>
    </w:p>
    <w:p w14:paraId="056AAFC7" w14:textId="59162AB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варијанти на авиони ако податоците за оперативна соодветност утврдиле дека е потребно IR.“;</w:t>
      </w:r>
    </w:p>
    <w:p w14:paraId="68E622E2" w14:textId="0080183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(37)</w:t>
      </w:r>
      <w:r w:rsidRPr="00D779B0">
        <w:rPr>
          <w:rFonts w:ascii="Times New Roman" w:hAnsi="Times New Roman" w:cs="Times New Roman"/>
          <w:color w:val="000000"/>
          <w:sz w:val="24"/>
          <w:szCs w:val="24"/>
        </w:rPr>
        <w:tab/>
        <w:t>точка FCL.915(б) се изменува како што следува:</w:t>
      </w:r>
    </w:p>
    <w:p w14:paraId="5FD51DC7" w14:textId="768C834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насловот се заменува со следново:</w:t>
      </w:r>
    </w:p>
    <w:p w14:paraId="0DE447CB"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„Дополнителни услови за инструкторите кои вршат оспособување за летање на воздухоплови.“;</w:t>
      </w:r>
    </w:p>
    <w:p w14:paraId="09A2EAD3" w14:textId="052FE15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во точка (в)(3), точка (ii) се заменува со следново:</w:t>
      </w:r>
    </w:p>
    <w:p w14:paraId="4A175D58" w14:textId="22E411B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поминале процена на компетентност за релевантната категорија на инструктор на таа класа или тип на воздухоплов;“;</w:t>
      </w:r>
    </w:p>
    <w:p w14:paraId="7D64D7C0" w14:textId="6741480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(в)</w:t>
      </w:r>
      <w:r w:rsidRPr="00D779B0">
        <w:rPr>
          <w:rFonts w:ascii="Times New Roman" w:hAnsi="Times New Roman" w:cs="Times New Roman"/>
          <w:color w:val="000000"/>
          <w:sz w:val="24"/>
          <w:szCs w:val="24"/>
        </w:rPr>
        <w:tab/>
        <w:t>точка (4) се заменува со следново:</w:t>
      </w:r>
    </w:p>
    <w:p w14:paraId="20B5D856" w14:textId="55925B7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имаат право да дејствуваат како PIC на воздухопловот за време на таквото оспособување за летање; и“;</w:t>
      </w:r>
    </w:p>
    <w:p w14:paraId="7B39312F" w14:textId="73B4137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се додава следнава точка (5):</w:t>
      </w:r>
    </w:p>
    <w:p w14:paraId="5C20BF06" w14:textId="4661B17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Pr="00D779B0">
        <w:rPr>
          <w:rFonts w:ascii="Times New Roman" w:hAnsi="Times New Roman" w:cs="Times New Roman"/>
          <w:color w:val="000000"/>
          <w:sz w:val="24"/>
          <w:szCs w:val="24"/>
        </w:rPr>
        <w:tab/>
        <w:t xml:space="preserve">при вршење на оспособување за летање на варијанта на класа на SEP-авион со одреден тип на мотор наведен во член 2, точка (8в) од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 исполниле еден од следниве услови:</w:t>
      </w:r>
    </w:p>
    <w:p w14:paraId="6F4D3932" w14:textId="2CE33B5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 xml:space="preserve">завршиле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5 часа време на летање како пилоти во таа варијанта;</w:t>
      </w:r>
    </w:p>
    <w:p w14:paraId="00982236" w14:textId="7A15E57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поминале процена на компетентност за релевантната категорија на инструктор на таа варијанта.“;</w:t>
      </w:r>
    </w:p>
    <w:p w14:paraId="67652C95" w14:textId="3D54DB3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(38)</w:t>
      </w:r>
      <w:r w:rsidRPr="00D779B0">
        <w:rPr>
          <w:rFonts w:ascii="Times New Roman" w:hAnsi="Times New Roman" w:cs="Times New Roman"/>
          <w:color w:val="000000"/>
          <w:sz w:val="24"/>
          <w:szCs w:val="24"/>
        </w:rPr>
        <w:tab/>
        <w:t>во точка FCL.930, точка (а) се заменува со следново:</w:t>
      </w:r>
    </w:p>
    <w:p w14:paraId="2F6C4E76" w14:textId="58B44A8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Кандидатот за уверение за инструктор завршил курс за теоретско знаење и оспособување за летање во АТО.“;</w:t>
      </w:r>
    </w:p>
    <w:p w14:paraId="690ACD3F" w14:textId="49ECC5A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(39)</w:t>
      </w:r>
      <w:r w:rsidRPr="00D779B0">
        <w:rPr>
          <w:rFonts w:ascii="Times New Roman" w:hAnsi="Times New Roman" w:cs="Times New Roman"/>
          <w:color w:val="000000"/>
          <w:sz w:val="24"/>
          <w:szCs w:val="24"/>
        </w:rPr>
        <w:tab/>
        <w:t>точка FCL.945 се заменува со следново:</w:t>
      </w:r>
    </w:p>
    <w:p w14:paraId="5E70D58F" w14:textId="6BA54C7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„FCL.945</w:t>
      </w:r>
      <w:r w:rsidRPr="00D779B0">
        <w:rPr>
          <w:rFonts w:ascii="Times New Roman" w:hAnsi="Times New Roman" w:cs="Times New Roman"/>
          <w:b/>
          <w:color w:val="000000"/>
          <w:sz w:val="24"/>
          <w:szCs w:val="24"/>
        </w:rPr>
        <w:tab/>
        <w:t>Обврски за инструктори</w:t>
      </w:r>
    </w:p>
    <w:p w14:paraId="29BDA977"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По завршување на летањето за обука за повторното потврдување на важноста на овластувањето за класа на SEP-авиони или TMG во согласност со точка FCL.740.A(б)(1)(ii)(В) или за повторното потврдување на важноста на овластувањето за тип ма хеликоптери со еден мотор во согласност со точка FCL.740.H(a)(2)(ii)(Б), и само во случај на исполнување на сите други критериуми за повторно потврдување на важноста кои се бараат во точка FCL.740.A(б)(1)(ii) или точка FCL.740.H(a)(2)(ii), како што е применливо, инструкторот ја потврдува дозволата на кандидатот со новиот датум на истекување на овластувањето, доколку е конкретно овластен за таа цел од надлежниот орган одговорен за дозволата на кандидатот.“;</w:t>
      </w:r>
    </w:p>
    <w:p w14:paraId="6C1AFDE3" w14:textId="2D06984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(40)</w:t>
      </w:r>
      <w:r w:rsidRPr="00D779B0">
        <w:rPr>
          <w:rFonts w:ascii="Times New Roman" w:hAnsi="Times New Roman" w:cs="Times New Roman"/>
          <w:color w:val="000000"/>
          <w:sz w:val="24"/>
          <w:szCs w:val="24"/>
        </w:rPr>
        <w:tab/>
        <w:t>точка FCL.915.FI(б) се изменува како што следува:</w:t>
      </w:r>
    </w:p>
    <w:p w14:paraId="628AEE7D" w14:textId="33A91A8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точка (2) се изменува како што следува:</w:t>
      </w:r>
    </w:p>
    <w:p w14:paraId="06EC2986" w14:textId="1D75925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воведната фраза се заменува со следново:</w:t>
      </w:r>
    </w:p>
    <w:p w14:paraId="2D01B3AD" w14:textId="2468492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„поседува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PPL(A) или поседува MPL со дополнителни права за PPL во согласност со точка FCL.405.A(б)(1) и ги исполнил следниве услови:“;</w:t>
      </w:r>
    </w:p>
    <w:p w14:paraId="3556BDF4" w14:textId="7ECDD2B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точка (i) се заменува со следново:</w:t>
      </w:r>
    </w:p>
    <w:p w14:paraId="5BC205C4" w14:textId="4FCB411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 xml:space="preserve">освен за FI(A) што спроведува обука само за LAPL(A), го поминал испитот за теоретско знаење за CPL, кој може да се полага без завршување на курс за обука за теоретско знаење за CPL и кој во тој случај не е со важност за </w:t>
      </w:r>
      <w:r w:rsidR="00D33DE6" w:rsidRPr="00D779B0">
        <w:rPr>
          <w:rFonts w:ascii="Times New Roman" w:hAnsi="Times New Roman" w:cs="Times New Roman"/>
          <w:color w:val="000000"/>
          <w:sz w:val="24"/>
          <w:szCs w:val="24"/>
        </w:rPr>
        <w:t xml:space="preserve">кое било </w:t>
      </w:r>
      <w:r w:rsidRPr="00D779B0">
        <w:rPr>
          <w:rFonts w:ascii="Times New Roman" w:hAnsi="Times New Roman" w:cs="Times New Roman"/>
          <w:color w:val="000000"/>
          <w:sz w:val="24"/>
          <w:szCs w:val="24"/>
        </w:rPr>
        <w:t>од следново:</w:t>
      </w:r>
    </w:p>
    <w:p w14:paraId="3D641F06" w14:textId="526C2EF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(A)</w:t>
      </w:r>
      <w:r w:rsidRPr="00D779B0">
        <w:rPr>
          <w:rFonts w:ascii="Times New Roman" w:hAnsi="Times New Roman" w:cs="Times New Roman"/>
          <w:color w:val="000000"/>
          <w:sz w:val="24"/>
          <w:szCs w:val="24"/>
        </w:rPr>
        <w:tab/>
        <w:t>издавањето на CPL;</w:t>
      </w:r>
    </w:p>
    <w:p w14:paraId="4506F575" w14:textId="0585935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признавање на теоретско знаење за CPL во согласност со точка FCL.035 и Додаток 1;“;</w:t>
      </w:r>
    </w:p>
    <w:p w14:paraId="37035FE6" w14:textId="4EF9F2F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точка (3) се заменува со следново:</w:t>
      </w:r>
    </w:p>
    <w:p w14:paraId="1782BE98" w14:textId="3F9F0EA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 xml:space="preserve">завршил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30 часа во класата или типот на авион што се користи за курсот за обука за FI(А), од кои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5 часа завршени во текот на 6 месеци пред приемната процена на летање утврдена во точка FCL.930.FI(a);“;</w:t>
      </w:r>
    </w:p>
    <w:p w14:paraId="0DD67E00" w14:textId="29176A7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(41)</w:t>
      </w:r>
      <w:r w:rsidRPr="00D779B0">
        <w:rPr>
          <w:rFonts w:ascii="Times New Roman" w:hAnsi="Times New Roman" w:cs="Times New Roman"/>
          <w:color w:val="000000"/>
          <w:sz w:val="24"/>
          <w:szCs w:val="24"/>
        </w:rPr>
        <w:tab/>
        <w:t>во точка FCL.930.FI, точка (а) се заменува со следново:</w:t>
      </w:r>
    </w:p>
    <w:p w14:paraId="78AC82FD" w14:textId="487D96E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Кандидатите за уверение за FI, во ATO, поминале конкретна приемна процена на летање со FI квалификуван во согласност со точка FCL.905.FI(ѕ) во рок од 6 месеци пред започнувањето на курсот, за да се процени нивната способност да го поминат курсот. Таа приемна процена на летање се заснова на проверката на стручноста за овластувањата за класа и тип како што е утврдено во Додаток 9.“;</w:t>
      </w:r>
    </w:p>
    <w:p w14:paraId="0D2A1E92" w14:textId="019A326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(42)</w:t>
      </w:r>
      <w:r w:rsidRPr="00D779B0">
        <w:rPr>
          <w:rFonts w:ascii="Times New Roman" w:hAnsi="Times New Roman" w:cs="Times New Roman"/>
          <w:color w:val="000000"/>
          <w:sz w:val="24"/>
          <w:szCs w:val="24"/>
        </w:rPr>
        <w:tab/>
        <w:t>точка FCL.940.FI се изменува како што следува:</w:t>
      </w:r>
    </w:p>
    <w:p w14:paraId="23E387DB" w14:textId="227BA9D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во точка (а)(1), точка (ii) се заменува со следново:</w:t>
      </w:r>
    </w:p>
    <w:p w14:paraId="6ADF949A" w14:textId="0A27022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завршиле обука за обновување на знаењето на инструктори како FI во ATO или кај надлежниот орган;“;</w:t>
      </w:r>
    </w:p>
    <w:p w14:paraId="1E54D30E" w14:textId="121B090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точка (б) се заменува со следново:</w:t>
      </w:r>
    </w:p>
    <w:p w14:paraId="37318459" w14:textId="4017344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r>
      <w:r w:rsidRPr="00D779B0">
        <w:rPr>
          <w:rFonts w:ascii="Times New Roman" w:hAnsi="Times New Roman" w:cs="Times New Roman"/>
          <w:i/>
          <w:iCs/>
          <w:color w:val="000000"/>
          <w:sz w:val="24"/>
          <w:szCs w:val="24"/>
        </w:rPr>
        <w:t>Обновување</w:t>
      </w:r>
    </w:p>
    <w:p w14:paraId="01AF1005"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Ако уверението за FI е со истечена важност, кандидатите, во рамките на период од 12 месеци пред датумот на поднесување на барањето за обновување, завршуваат обука за обновување на знаењето како FI во ATO или кај надлежен орган и завршуваат процена на компетентност во согласност со точка FCL.935.“;</w:t>
      </w:r>
    </w:p>
    <w:p w14:paraId="34064072" w14:textId="3DA3EB1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(43)</w:t>
      </w:r>
      <w:r w:rsidRPr="00D779B0">
        <w:rPr>
          <w:rFonts w:ascii="Times New Roman" w:hAnsi="Times New Roman" w:cs="Times New Roman"/>
          <w:color w:val="000000"/>
          <w:sz w:val="24"/>
          <w:szCs w:val="24"/>
        </w:rPr>
        <w:tab/>
        <w:t>во точка FCL.905.TRI(a)(2), точка (ii) се заменува со следново:</w:t>
      </w:r>
    </w:p>
    <w:p w14:paraId="6EE32AD5" w14:textId="00119F0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ја спровел наставната програма за оспособување за летање од релевантниот дел од курсот за обука за TRI во согласност со точка FCL.930.TRI(аб)(3) на задоволителен начин за раководителот на обуката на ATO;“;</w:t>
      </w:r>
    </w:p>
    <w:p w14:paraId="1BEF20EC" w14:textId="177AC6A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(44)</w:t>
      </w:r>
      <w:r w:rsidRPr="00D779B0">
        <w:rPr>
          <w:rFonts w:ascii="Times New Roman" w:hAnsi="Times New Roman" w:cs="Times New Roman"/>
          <w:color w:val="000000"/>
          <w:sz w:val="24"/>
          <w:szCs w:val="24"/>
        </w:rPr>
        <w:tab/>
        <w:t>точка FCL.910.TRI се изменува како што следува:</w:t>
      </w:r>
    </w:p>
    <w:p w14:paraId="3FCEB4CF" w14:textId="00D99ED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во точка (а), точките (1) и (2) се заменуваат со следново:</w:t>
      </w:r>
    </w:p>
    <w:p w14:paraId="77FB3014" w14:textId="54032A0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LIFUS, под услов курсот за обука за TRI да ја </w:t>
      </w:r>
      <w:r w:rsidR="0002435F">
        <w:rPr>
          <w:rFonts w:ascii="Times New Roman" w:hAnsi="Times New Roman" w:cs="Times New Roman"/>
          <w:color w:val="000000"/>
          <w:sz w:val="24"/>
          <w:szCs w:val="24"/>
        </w:rPr>
        <w:t>вклучува</w:t>
      </w:r>
      <w:r w:rsidR="0002435F"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релевантната обука наведена во точка FCL.930.TRI(aб)(4);</w:t>
      </w:r>
    </w:p>
    <w:p w14:paraId="7A706905" w14:textId="186F982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обука за слетување, под услов курсот за обука за TRI да ја </w:t>
      </w:r>
      <w:r w:rsidR="0002435F">
        <w:rPr>
          <w:rFonts w:ascii="Times New Roman" w:hAnsi="Times New Roman" w:cs="Times New Roman"/>
          <w:color w:val="000000"/>
          <w:sz w:val="24"/>
          <w:szCs w:val="24"/>
        </w:rPr>
        <w:t>вклучува</w:t>
      </w:r>
      <w:r w:rsidR="0002435F"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релевантната обука наведена во точка FCL.930.TRI(aб)(4); или“;</w:t>
      </w:r>
    </w:p>
    <w:p w14:paraId="4579EB76" w14:textId="2336AD0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(б)</w:t>
      </w:r>
      <w:r w:rsidRPr="00D779B0">
        <w:rPr>
          <w:rFonts w:ascii="Times New Roman" w:hAnsi="Times New Roman" w:cs="Times New Roman"/>
          <w:color w:val="000000"/>
          <w:sz w:val="24"/>
          <w:szCs w:val="24"/>
        </w:rPr>
        <w:tab/>
        <w:t>во точка (б), ставот по точка (3) се заменува со следново:</w:t>
      </w:r>
    </w:p>
    <w:p w14:paraId="714AF770" w14:textId="27585C4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w:t>
      </w:r>
      <w:r w:rsidR="0002435F">
        <w:rPr>
          <w:rFonts w:ascii="Times New Roman" w:hAnsi="Times New Roman" w:cs="Times New Roman"/>
          <w:color w:val="000000"/>
          <w:sz w:val="24"/>
          <w:szCs w:val="24"/>
        </w:rPr>
        <w:t>Правата</w:t>
      </w:r>
      <w:r w:rsidR="0002435F"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 xml:space="preserve">на TRI се прошируваат за дополнителни варијанти, под услов да ја исполнуваат точка FCL.710 во тие други варијанти и, каде што е применливо, елементите утврдени во податоците за оперативна соодветност утврдени во согласност со Анекс I (Дел 21)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748/2012 за тие варијанти.“;</w:t>
      </w:r>
    </w:p>
    <w:p w14:paraId="64038144" w14:textId="150CEE9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во точка (в(1)), ставот по точка (iii) се заменува со следново:</w:t>
      </w:r>
    </w:p>
    <w:p w14:paraId="7582F806" w14:textId="49F13B6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w:t>
      </w:r>
      <w:r w:rsidR="0002435F">
        <w:rPr>
          <w:rFonts w:ascii="Times New Roman" w:hAnsi="Times New Roman" w:cs="Times New Roman"/>
          <w:color w:val="000000"/>
          <w:sz w:val="24"/>
          <w:szCs w:val="24"/>
        </w:rPr>
        <w:t>Правата</w:t>
      </w:r>
      <w:r w:rsidR="0002435F"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 xml:space="preserve">на TRI се прошируваат за дополнителни варијанти, под услов да ја исполнуваат точка FCL.710 во тие други варијанти и, каде што е применливо, елементите утврдени во податоците за оперативна соодветност утврдени во согласност со Анекс I (Дел 21)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748/2012 за тие варијанти.“;</w:t>
      </w:r>
    </w:p>
    <w:p w14:paraId="3C71F4B8" w14:textId="0B9A784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(45)</w:t>
      </w:r>
      <w:r w:rsidRPr="00D779B0">
        <w:rPr>
          <w:rFonts w:ascii="Times New Roman" w:hAnsi="Times New Roman" w:cs="Times New Roman"/>
          <w:color w:val="000000"/>
          <w:sz w:val="24"/>
          <w:szCs w:val="24"/>
        </w:rPr>
        <w:tab/>
        <w:t>точка FCL.930.TRI се изменува како што следува:</w:t>
      </w:r>
    </w:p>
    <w:p w14:paraId="7AC5F81A" w14:textId="34F8323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точка (а) се заменува со следново:</w:t>
      </w:r>
    </w:p>
    <w:p w14:paraId="17CC05AB" w14:textId="7AB90A2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Курсот за обука за TRI се спроведува:</w:t>
      </w:r>
    </w:p>
    <w:p w14:paraId="09022D4B" w14:textId="468034D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0002435F">
        <w:rPr>
          <w:rFonts w:ascii="Times New Roman" w:hAnsi="Times New Roman" w:cs="Times New Roman"/>
          <w:color w:val="000000"/>
          <w:sz w:val="24"/>
          <w:szCs w:val="24"/>
        </w:rPr>
        <w:tab/>
      </w:r>
      <w:r w:rsidRPr="00D779B0">
        <w:rPr>
          <w:rFonts w:ascii="Times New Roman" w:hAnsi="Times New Roman" w:cs="Times New Roman"/>
          <w:color w:val="000000"/>
          <w:sz w:val="24"/>
          <w:szCs w:val="24"/>
        </w:rPr>
        <w:t>во случај на MPA, на FFS или комбинација од FSTD и FFS;</w:t>
      </w:r>
    </w:p>
    <w:p w14:paraId="33904441" w14:textId="3F77B07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во случај на овластувања за тип на SPA и хеликоптери, на </w:t>
      </w:r>
      <w:r w:rsidR="00D33DE6" w:rsidRPr="00D779B0">
        <w:rPr>
          <w:rFonts w:ascii="Times New Roman" w:hAnsi="Times New Roman" w:cs="Times New Roman"/>
          <w:color w:val="000000"/>
          <w:sz w:val="24"/>
          <w:szCs w:val="24"/>
        </w:rPr>
        <w:t xml:space="preserve">кое било </w:t>
      </w:r>
      <w:r w:rsidRPr="00D779B0">
        <w:rPr>
          <w:rFonts w:ascii="Times New Roman" w:hAnsi="Times New Roman" w:cs="Times New Roman"/>
          <w:color w:val="000000"/>
          <w:sz w:val="24"/>
          <w:szCs w:val="24"/>
        </w:rPr>
        <w:t>од следново:</w:t>
      </w:r>
    </w:p>
    <w:p w14:paraId="40973952" w14:textId="67B3392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расположлив и достапен FFS, или комбинација од таков FFS и FSTD;</w:t>
      </w:r>
    </w:p>
    <w:p w14:paraId="34D6FB5A" w14:textId="77777777" w:rsidR="00F564C9"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комбинација од FSTD и воздухопловот доколку FFS не е расположлив или достапен;</w:t>
      </w:r>
    </w:p>
    <w:p w14:paraId="047ED21D" w14:textId="014AFCF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воздухопловот доколку FSTD не е расположлив или достапен“;</w:t>
      </w:r>
    </w:p>
    <w:p w14:paraId="104F556A" w14:textId="4209647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се вметнуваат следниве точки (аа) и (аб):</w:t>
      </w:r>
    </w:p>
    <w:p w14:paraId="4E8C83CC" w14:textId="427FE40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„(аа)</w:t>
      </w:r>
      <w:r w:rsidRPr="00D779B0">
        <w:rPr>
          <w:rFonts w:ascii="Times New Roman" w:hAnsi="Times New Roman" w:cs="Times New Roman"/>
          <w:color w:val="000000"/>
          <w:sz w:val="24"/>
          <w:szCs w:val="24"/>
        </w:rPr>
        <w:tab/>
        <w:t>По пат на отстапување од точка (а), курсот за обука за TRI:</w:t>
      </w:r>
    </w:p>
    <w:p w14:paraId="7FA8FD1A" w14:textId="590B10B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за несложени хеликоптери може да се спроведе во комбинација од FSTD и воздухопловот дури и ако FFS е расположлив и достапен;</w:t>
      </w:r>
    </w:p>
    <w:p w14:paraId="1102C00A" w14:textId="14CFC93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за воздухопловите наведени во Оддел А, точка 1д, од Додаток 9 може да се спроведе во согласност со точките FCL.930.TRI(а)(2)(i), (ii) или (iii), без оглед на расположливоста и достапноста на FFS или FSTD.</w:t>
      </w:r>
    </w:p>
    <w:p w14:paraId="318E0132" w14:textId="47034A6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(аб)</w:t>
      </w:r>
      <w:r w:rsidRPr="00D779B0">
        <w:rPr>
          <w:rFonts w:ascii="Times New Roman" w:hAnsi="Times New Roman" w:cs="Times New Roman"/>
          <w:color w:val="000000"/>
          <w:sz w:val="24"/>
          <w:szCs w:val="24"/>
        </w:rPr>
        <w:tab/>
        <w:t>Курсот за обука за TRI вклучува:</w:t>
      </w:r>
    </w:p>
    <w:p w14:paraId="2FD0B288" w14:textId="00B172A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25 часа настава и учење;</w:t>
      </w:r>
    </w:p>
    <w:p w14:paraId="745DDD4D" w14:textId="6DBA6E7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10 часа техничка обука, </w:t>
      </w:r>
      <w:r w:rsidR="00C31894">
        <w:rPr>
          <w:rFonts w:ascii="Times New Roman" w:hAnsi="Times New Roman" w:cs="Times New Roman"/>
          <w:color w:val="000000"/>
          <w:sz w:val="24"/>
          <w:szCs w:val="24"/>
        </w:rPr>
        <w:t xml:space="preserve">вклучително и </w:t>
      </w:r>
      <w:r w:rsidRPr="00D779B0">
        <w:rPr>
          <w:rFonts w:ascii="Times New Roman" w:hAnsi="Times New Roman" w:cs="Times New Roman"/>
          <w:color w:val="000000"/>
          <w:sz w:val="24"/>
          <w:szCs w:val="24"/>
        </w:rPr>
        <w:t>ревизија на техничко знаење, подготовката на наставни планови и развојот на вештини за оспособување во училница или на симулатор;</w:t>
      </w:r>
    </w:p>
    <w:p w14:paraId="4FFFC144" w14:textId="0A39212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(3)</w:t>
      </w:r>
      <w:r w:rsidRPr="00D779B0">
        <w:rPr>
          <w:rFonts w:ascii="Times New Roman" w:hAnsi="Times New Roman" w:cs="Times New Roman"/>
          <w:color w:val="000000"/>
          <w:sz w:val="24"/>
          <w:szCs w:val="24"/>
        </w:rPr>
        <w:tab/>
        <w:t>5 часа оспособување за летање на соодветниот воздухоплов или FSTD што го претставува тој воздухоплов за воздухоплов со само еден пилот и 10 часа за авион со повеќе пилоти или FSTD што го претставува тој воздухоплов;</w:t>
      </w:r>
    </w:p>
    <w:p w14:paraId="21A635EE" w14:textId="2B7335B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доколку се бараат права за спроведување на LIFUS или обука за полетување и слетување, следнава обука, како што е применливо:</w:t>
      </w:r>
    </w:p>
    <w:p w14:paraId="58FFA304" w14:textId="242CE13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 xml:space="preserve">на FSTD и во врска со релевантните </w:t>
      </w:r>
      <w:r w:rsidR="0002435F">
        <w:rPr>
          <w:rFonts w:ascii="Times New Roman" w:hAnsi="Times New Roman" w:cs="Times New Roman"/>
          <w:color w:val="000000"/>
          <w:sz w:val="24"/>
          <w:szCs w:val="24"/>
        </w:rPr>
        <w:t>права</w:t>
      </w:r>
      <w:r w:rsidRPr="00D779B0">
        <w:rPr>
          <w:rFonts w:ascii="Times New Roman" w:hAnsi="Times New Roman" w:cs="Times New Roman"/>
          <w:color w:val="000000"/>
          <w:sz w:val="24"/>
          <w:szCs w:val="24"/>
        </w:rPr>
        <w:t>, дополнителна конкретна обука која, во случај на права за спроведување на обука за полетување и слетување, вклучува обука за опасни ситуации поврзани со воздухопловот;</w:t>
      </w:r>
    </w:p>
    <w:p w14:paraId="621DC03F" w14:textId="23ECC36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консолидација на конкретната обука во согласност со точка (4)(i), каде што кандидатот, на воздухопловот, спроведува LIFUS или обука за полетување и слетување, како што е применливо, под надзор на TRI кој е номиниран за таа цел од АТО.“;</w:t>
      </w:r>
    </w:p>
    <w:p w14:paraId="2A65167E" w14:textId="0BF3C72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(46)</w:t>
      </w:r>
      <w:r w:rsidRPr="00D779B0">
        <w:rPr>
          <w:rFonts w:ascii="Times New Roman" w:hAnsi="Times New Roman" w:cs="Times New Roman"/>
          <w:color w:val="000000"/>
          <w:sz w:val="24"/>
          <w:szCs w:val="24"/>
        </w:rPr>
        <w:tab/>
        <w:t>во точка FCL.905.CRI(a), точка (2) се заменува со следново:</w:t>
      </w:r>
    </w:p>
    <w:p w14:paraId="031C9EF1" w14:textId="070BCF5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овластување за влечење или акробатско летање за категоријата на авион, под услов CRI да го поседува релевантното овластување и да ја докажал способноста да врши оспособување за тоа овластување пред FI квалификуван во согласност со точка FCL.905.FI(ѕ);“ ;</w:t>
      </w:r>
    </w:p>
    <w:p w14:paraId="7C0A3BBE" w14:textId="20F45CC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(47)</w:t>
      </w:r>
      <w:r w:rsidRPr="00D779B0">
        <w:rPr>
          <w:rFonts w:ascii="Times New Roman" w:hAnsi="Times New Roman" w:cs="Times New Roman"/>
          <w:color w:val="000000"/>
          <w:sz w:val="24"/>
          <w:szCs w:val="24"/>
        </w:rPr>
        <w:tab/>
        <w:t>во точка FCL.905.IRI(б), точка (3) се заменува со следново:</w:t>
      </w:r>
    </w:p>
    <w:p w14:paraId="2FA2F112" w14:textId="774AFEE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Во случај на IRI веќе квалификуван да врши оспособување за интегрирани курсеви за ATP(A) или CPL(A)/IR, условот од точка FCL.905.IRI(б)(2) може да се замени со завршувањето на курсот предвиден во точка FCL.905.FI(и)(3).“;</w:t>
      </w:r>
    </w:p>
    <w:p w14:paraId="1907127D" w14:textId="5E190C7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(48)</w:t>
      </w:r>
      <w:r w:rsidRPr="00D779B0">
        <w:rPr>
          <w:rFonts w:ascii="Times New Roman" w:hAnsi="Times New Roman" w:cs="Times New Roman"/>
          <w:color w:val="000000"/>
          <w:sz w:val="24"/>
          <w:szCs w:val="24"/>
        </w:rPr>
        <w:tab/>
        <w:t>во точка FCL.930.IRI, точка (б) се заменува со следново:</w:t>
      </w:r>
    </w:p>
    <w:p w14:paraId="3F5CFBCF" w14:textId="0505912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Оспособувањето за летање го врши FI квалификуван во согласност со точка FCL.905.FI(ѕ).“;</w:t>
      </w:r>
    </w:p>
    <w:p w14:paraId="6D350917" w14:textId="4BDCC02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(49)</w:t>
      </w:r>
      <w:r w:rsidRPr="00D779B0">
        <w:rPr>
          <w:rFonts w:ascii="Times New Roman" w:hAnsi="Times New Roman" w:cs="Times New Roman"/>
          <w:color w:val="000000"/>
          <w:sz w:val="24"/>
          <w:szCs w:val="24"/>
        </w:rPr>
        <w:tab/>
        <w:t>в точка FCL.910.SFI, втор став, воведната фраза се заменува со следново:</w:t>
      </w:r>
    </w:p>
    <w:p w14:paraId="26AAAFD8" w14:textId="68C9AD8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„Освен ако не е поинаку наведено во податоците за оперативна соодветност утврдени во согласност со Анекс I (Дел 21)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748/2012, за да се прошират правата на SFI за други FSTD кои претставуваат дополнителни типови на истата категорија на воздухоплов, SFI имаат:“;</w:t>
      </w:r>
    </w:p>
    <w:p w14:paraId="1DBCDE93" w14:textId="77777777" w:rsidR="00EB25FD"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(50)</w:t>
      </w:r>
      <w:r w:rsidRPr="00D779B0">
        <w:rPr>
          <w:rFonts w:ascii="Times New Roman" w:hAnsi="Times New Roman" w:cs="Times New Roman"/>
          <w:color w:val="000000"/>
          <w:sz w:val="24"/>
          <w:szCs w:val="24"/>
        </w:rPr>
        <w:tab/>
        <w:t>во точка FCL.930.SFI, точка (б) се заменува со следново:</w:t>
      </w:r>
    </w:p>
    <w:p w14:paraId="7D28A7F0" w14:textId="6DEC2D1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На кандидат за уверение за SFI:</w:t>
      </w:r>
    </w:p>
    <w:p w14:paraId="1BBFA46A" w14:textId="6456D16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кој поседува уверение за TRI за релевантниот тип целосно му се признаваат условите од точка (а);</w:t>
      </w:r>
    </w:p>
    <w:p w14:paraId="221344A9" w14:textId="19AA208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кој поседува или поседувал уверение за инструктор за релевантниот тип целосно му се признаваат условите од точка (а)(3).“;</w:t>
      </w:r>
    </w:p>
    <w:p w14:paraId="583DCC2D" w14:textId="118342C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(51)</w:t>
      </w:r>
      <w:r w:rsidRPr="00D779B0">
        <w:rPr>
          <w:rFonts w:ascii="Times New Roman" w:hAnsi="Times New Roman" w:cs="Times New Roman"/>
          <w:color w:val="000000"/>
          <w:sz w:val="24"/>
          <w:szCs w:val="24"/>
        </w:rPr>
        <w:tab/>
        <w:t>Додаток 1 се изменува како што следува:</w:t>
      </w:r>
    </w:p>
    <w:p w14:paraId="55CED0CF" w14:textId="3CE79BA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(а)</w:t>
      </w:r>
      <w:r w:rsidRPr="00D779B0">
        <w:rPr>
          <w:rFonts w:ascii="Times New Roman" w:hAnsi="Times New Roman" w:cs="Times New Roman"/>
          <w:color w:val="000000"/>
          <w:sz w:val="24"/>
          <w:szCs w:val="24"/>
        </w:rPr>
        <w:tab/>
        <w:t>точките 1.3 и 1.4 се заменуваат со следново:</w:t>
      </w:r>
    </w:p>
    <w:p w14:paraId="7A2D75B4" w14:textId="090E6F9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„1.3.</w:t>
      </w:r>
      <w:r w:rsidRPr="00D779B0">
        <w:rPr>
          <w:rFonts w:ascii="Times New Roman" w:hAnsi="Times New Roman" w:cs="Times New Roman"/>
          <w:color w:val="000000"/>
          <w:sz w:val="24"/>
          <w:szCs w:val="24"/>
        </w:rPr>
        <w:tab/>
        <w:t>За издавањето на PPL, на имателот на LAPL во иста категорија на воздухоплов целосно му се признаваат условите за оспособување за теоретско знаење и испит за теоретско знаење. Тоа признавање исто така се применува за кандидати за PPL кои веќе успешно го завршиле испитот за теоретско знаење за LAPL во истата категорија на воздухоплови, сѐ додека тој е во рамките на периодот на важноста наведен во точка FCL.025(в).</w:t>
      </w:r>
    </w:p>
    <w:p w14:paraId="3D0978CC" w14:textId="1C1257F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1.4.</w:t>
      </w:r>
      <w:r w:rsidRPr="00D779B0">
        <w:rPr>
          <w:rFonts w:ascii="Times New Roman" w:hAnsi="Times New Roman" w:cs="Times New Roman"/>
          <w:color w:val="000000"/>
          <w:sz w:val="24"/>
          <w:szCs w:val="24"/>
        </w:rPr>
        <w:tab/>
        <w:t xml:space="preserve">По пат на отстапување од точка 1.2, за издавањето на LAPL(A), имателот на SPL издадена во согласност со Анекс III (Дел-SFCL)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за спроведување (ЕУ) 2018/1976 година со права за летање на TMG докажува соодветно ниво на теоретско знаење овластување за класата на SEP-авиони кои слетуваат на копно во согласност со точка FCL.135.A(a)(2).“;</w:t>
      </w:r>
    </w:p>
    <w:p w14:paraId="2F6BEE12" w14:textId="3B11BB0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точка 2.2 се заменува со следново:</w:t>
      </w:r>
    </w:p>
    <w:p w14:paraId="5A98F8B6" w14:textId="06C4EB8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„2.2.</w:t>
      </w:r>
      <w:r w:rsidRPr="00D779B0">
        <w:rPr>
          <w:rFonts w:ascii="Times New Roman" w:hAnsi="Times New Roman" w:cs="Times New Roman"/>
          <w:color w:val="000000"/>
          <w:sz w:val="24"/>
          <w:szCs w:val="24"/>
        </w:rPr>
        <w:tab/>
        <w:t xml:space="preserve">Кандидатите поминуваат испити за теоретско знаење како што е утврдено во </w:t>
      </w:r>
      <w:r w:rsidR="00C74D50">
        <w:rPr>
          <w:rFonts w:ascii="Times New Roman" w:hAnsi="Times New Roman" w:cs="Times New Roman"/>
          <w:color w:val="000000"/>
          <w:sz w:val="24"/>
          <w:szCs w:val="24"/>
        </w:rPr>
        <w:t>овој анекс</w:t>
      </w:r>
      <w:r w:rsidRPr="00D779B0">
        <w:rPr>
          <w:rFonts w:ascii="Times New Roman" w:hAnsi="Times New Roman" w:cs="Times New Roman"/>
          <w:color w:val="000000"/>
          <w:sz w:val="24"/>
          <w:szCs w:val="24"/>
        </w:rPr>
        <w:t xml:space="preserve"> (Дел-FCL) за следниве предмети во соодветната категорија на воздухоплов:</w:t>
      </w:r>
    </w:p>
    <w:p w14:paraId="398A4598"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021 — Општо знаење за воздухоплови: авионска рамка и системи, енергетски системи, погони и опрема за опасни ситуации;</w:t>
      </w:r>
    </w:p>
    <w:p w14:paraId="089CAC24"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022 — Општо знаење за воздухоплови: мерни уреди; 032/034 — Перформанси на авиони или хеликоптери, како што е применливо;</w:t>
      </w:r>
    </w:p>
    <w:p w14:paraId="7D84A556"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070 — Оперативни процедури;</w:t>
      </w:r>
    </w:p>
    <w:p w14:paraId="64C7C049"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081/082 — Принципи на летање за авиони или хеликоптери, како што е применливо.“;</w:t>
      </w:r>
    </w:p>
    <w:p w14:paraId="5E28AE06" w14:textId="0E0A55A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точка 2.4 се заменува со следново:</w:t>
      </w:r>
    </w:p>
    <w:p w14:paraId="59A8FF89" w14:textId="6E2F124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„2.4.</w:t>
      </w:r>
      <w:r w:rsidRPr="00D779B0">
        <w:rPr>
          <w:rFonts w:ascii="Times New Roman" w:hAnsi="Times New Roman" w:cs="Times New Roman"/>
          <w:color w:val="000000"/>
          <w:sz w:val="24"/>
          <w:szCs w:val="24"/>
        </w:rPr>
        <w:tab/>
        <w:t>На кандидатите за CPL кои ги поминале релевантните испити за теоретско знаење за IR во истата категорија на воздухоплов им се признаваат условите за теоретско знаење за предметот Комуникации.“;</w:t>
      </w:r>
    </w:p>
    <w:p w14:paraId="435FFF10" w14:textId="5183974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точка 3.2 се заменува со следново:</w:t>
      </w:r>
    </w:p>
    <w:p w14:paraId="54C8EFEA" w14:textId="4B8D7E1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„3.2.</w:t>
      </w:r>
      <w:r w:rsidRPr="00D779B0">
        <w:rPr>
          <w:rFonts w:ascii="Times New Roman" w:hAnsi="Times New Roman" w:cs="Times New Roman"/>
          <w:color w:val="000000"/>
          <w:sz w:val="24"/>
          <w:szCs w:val="24"/>
        </w:rPr>
        <w:tab/>
        <w:t xml:space="preserve">Кандидатите поминуваат испити за теоретско знаење како што е дефинирано во </w:t>
      </w:r>
      <w:r w:rsidR="00C74D50">
        <w:rPr>
          <w:rFonts w:ascii="Times New Roman" w:hAnsi="Times New Roman" w:cs="Times New Roman"/>
          <w:color w:val="000000"/>
          <w:sz w:val="24"/>
          <w:szCs w:val="24"/>
        </w:rPr>
        <w:t>овој анекс</w:t>
      </w:r>
      <w:r w:rsidRPr="00D779B0">
        <w:rPr>
          <w:rFonts w:ascii="Times New Roman" w:hAnsi="Times New Roman" w:cs="Times New Roman"/>
          <w:color w:val="000000"/>
          <w:sz w:val="24"/>
          <w:szCs w:val="24"/>
        </w:rPr>
        <w:t xml:space="preserve"> (Дел-FCL) за следниве предмети во соодветната категорија на воздухоплов:</w:t>
      </w:r>
    </w:p>
    <w:p w14:paraId="3BA8BB73"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021 — Општо знаење за воздухоплови: авионска рамка и системи, енергетски системи, погони и опрема за опасни ситуации;</w:t>
      </w:r>
    </w:p>
    <w:p w14:paraId="532C03A4"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023 — Општо знаење за воздухоплови: мерни уреди;</w:t>
      </w:r>
    </w:p>
    <w:p w14:paraId="5A9494C0"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032/034 — Перформанси на авиони или хеликоптери, како што е применливо;</w:t>
      </w:r>
    </w:p>
    <w:p w14:paraId="111B725A"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070 — Оперативни процедури;</w:t>
      </w:r>
    </w:p>
    <w:p w14:paraId="2F7F85A8" w14:textId="77777777" w:rsidR="00EB25FD" w:rsidRPr="00D779B0" w:rsidRDefault="006D29A5" w:rsidP="00E80582">
      <w:pPr>
        <w:shd w:val="clear" w:color="auto" w:fill="FFFFFF"/>
        <w:spacing w:before="120" w:after="120"/>
        <w:jc w:val="both"/>
        <w:rPr>
          <w:rFonts w:ascii="Times New Roman" w:eastAsia="Times New Roman" w:hAnsi="Times New Roman" w:cs="Times New Roman"/>
          <w:color w:val="000000"/>
          <w:sz w:val="24"/>
          <w:szCs w:val="24"/>
        </w:rPr>
      </w:pPr>
      <w:r w:rsidRPr="00D779B0">
        <w:rPr>
          <w:rFonts w:ascii="Times New Roman" w:hAnsi="Times New Roman" w:cs="Times New Roman"/>
          <w:color w:val="000000"/>
          <w:sz w:val="24"/>
          <w:szCs w:val="24"/>
        </w:rPr>
        <w:lastRenderedPageBreak/>
        <w:t>081/082 — Принципи на летање за авиони или хеликоптери, како што е применливо.“;</w:t>
      </w:r>
    </w:p>
    <w:p w14:paraId="64FEB00C" w14:textId="40CA648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(52)</w:t>
      </w:r>
      <w:r w:rsidRPr="00D779B0">
        <w:rPr>
          <w:rFonts w:ascii="Times New Roman" w:hAnsi="Times New Roman" w:cs="Times New Roman"/>
          <w:color w:val="000000"/>
          <w:sz w:val="24"/>
          <w:szCs w:val="24"/>
        </w:rPr>
        <w:tab/>
        <w:t>во Додаток 4, Оддел Б, точка 5 се изменува како што следува:</w:t>
      </w:r>
    </w:p>
    <w:p w14:paraId="19B4B5E5" w14:textId="38F988C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првиот став се заменува со следново:</w:t>
      </w:r>
    </w:p>
    <w:p w14:paraId="44B2DD7F"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„Ставките од Оддел 2(в) и (д)(iv), Оддел 3(е) и Одделите 5 и 6 во целост може да се спроведат на FNPT II или FFS. Испитувачот може да одлучи да не ги спроведе ставките од Оддел 6(г).“;</w:t>
      </w:r>
    </w:p>
    <w:p w14:paraId="1CE819AB" w14:textId="55784DA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табелата се изменува како што следува:</w:t>
      </w:r>
    </w:p>
    <w:p w14:paraId="0F2D885F" w14:textId="50B5D46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Оддел 3 се изменува како што следува:</w:t>
      </w:r>
    </w:p>
    <w:p w14:paraId="60D5506B" w14:textId="1D0B78D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w:t>
      </w:r>
      <w:r w:rsidRPr="00D779B0">
        <w:rPr>
          <w:rFonts w:ascii="Times New Roman" w:hAnsi="Times New Roman" w:cs="Times New Roman"/>
          <w:color w:val="000000"/>
          <w:sz w:val="24"/>
          <w:szCs w:val="24"/>
        </w:rPr>
        <w:tab/>
        <w:t>ред (е) се заменува со следново:</w:t>
      </w:r>
    </w:p>
    <w:tbl>
      <w:tblPr>
        <w:tblW w:w="0" w:type="auto"/>
        <w:tblInd w:w="40" w:type="dxa"/>
        <w:tblLayout w:type="fixed"/>
        <w:tblCellMar>
          <w:left w:w="40" w:type="dxa"/>
          <w:right w:w="40" w:type="dxa"/>
        </w:tblCellMar>
        <w:tblLook w:val="0000" w:firstRow="0" w:lastRow="0" w:firstColumn="0" w:lastColumn="0" w:noHBand="0" w:noVBand="0"/>
      </w:tblPr>
      <w:tblGrid>
        <w:gridCol w:w="758"/>
        <w:gridCol w:w="6725"/>
      </w:tblGrid>
      <w:tr w:rsidR="00330A3B" w:rsidRPr="00D779B0" w14:paraId="7B80F70F" w14:textId="77777777">
        <w:trPr>
          <w:trHeight w:val="576"/>
        </w:trPr>
        <w:tc>
          <w:tcPr>
            <w:tcW w:w="758" w:type="dxa"/>
            <w:tcBorders>
              <w:top w:val="single" w:sz="6" w:space="0" w:color="auto"/>
              <w:left w:val="nil"/>
              <w:bottom w:val="single" w:sz="6" w:space="0" w:color="auto"/>
              <w:right w:val="single" w:sz="6" w:space="0" w:color="auto"/>
            </w:tcBorders>
            <w:shd w:val="clear" w:color="auto" w:fill="FFFFFF"/>
          </w:tcPr>
          <w:p w14:paraId="727B03A4"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„е</w:t>
            </w:r>
          </w:p>
        </w:tc>
        <w:tc>
          <w:tcPr>
            <w:tcW w:w="6725" w:type="dxa"/>
            <w:tcBorders>
              <w:top w:val="single" w:sz="6" w:space="0" w:color="auto"/>
              <w:left w:val="single" w:sz="6" w:space="0" w:color="auto"/>
              <w:bottom w:val="single" w:sz="6" w:space="0" w:color="auto"/>
              <w:right w:val="nil"/>
            </w:tcBorders>
            <w:shd w:val="clear" w:color="auto" w:fill="FFFFFF"/>
          </w:tcPr>
          <w:p w14:paraId="7447A48F"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Следење, позиционирање (NDB, VOR или патека помеѓу попатни точки), идентификација на уреди (летање по инструменти).“;</w:t>
            </w:r>
          </w:p>
        </w:tc>
      </w:tr>
    </w:tbl>
    <w:p w14:paraId="1D92F70F" w14:textId="033AA12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w:t>
      </w:r>
      <w:r w:rsidRPr="00D779B0">
        <w:rPr>
          <w:rFonts w:ascii="Times New Roman" w:hAnsi="Times New Roman" w:cs="Times New Roman"/>
          <w:color w:val="000000"/>
          <w:sz w:val="24"/>
          <w:szCs w:val="24"/>
        </w:rPr>
        <w:tab/>
        <w:t>се додава следниов ред (ж):</w:t>
      </w:r>
    </w:p>
    <w:tbl>
      <w:tblPr>
        <w:tblW w:w="0" w:type="auto"/>
        <w:tblInd w:w="40" w:type="dxa"/>
        <w:tblLayout w:type="fixed"/>
        <w:tblCellMar>
          <w:left w:w="40" w:type="dxa"/>
          <w:right w:w="40" w:type="dxa"/>
        </w:tblCellMar>
        <w:tblLook w:val="0000" w:firstRow="0" w:lastRow="0" w:firstColumn="0" w:lastColumn="0" w:noHBand="0" w:noVBand="0"/>
      </w:tblPr>
      <w:tblGrid>
        <w:gridCol w:w="758"/>
        <w:gridCol w:w="6725"/>
      </w:tblGrid>
      <w:tr w:rsidR="00330A3B" w:rsidRPr="00D779B0" w14:paraId="797AF904" w14:textId="77777777">
        <w:trPr>
          <w:trHeight w:val="360"/>
        </w:trPr>
        <w:tc>
          <w:tcPr>
            <w:tcW w:w="758" w:type="dxa"/>
            <w:tcBorders>
              <w:top w:val="single" w:sz="6" w:space="0" w:color="auto"/>
              <w:left w:val="nil"/>
              <w:bottom w:val="single" w:sz="6" w:space="0" w:color="auto"/>
              <w:right w:val="single" w:sz="6" w:space="0" w:color="auto"/>
            </w:tcBorders>
            <w:shd w:val="clear" w:color="auto" w:fill="FFFFFF"/>
          </w:tcPr>
          <w:p w14:paraId="2A1CB0A0"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„ж</w:t>
            </w:r>
          </w:p>
        </w:tc>
        <w:tc>
          <w:tcPr>
            <w:tcW w:w="6725" w:type="dxa"/>
            <w:tcBorders>
              <w:top w:val="single" w:sz="6" w:space="0" w:color="auto"/>
              <w:left w:val="single" w:sz="6" w:space="0" w:color="auto"/>
              <w:bottom w:val="single" w:sz="6" w:space="0" w:color="auto"/>
              <w:right w:val="nil"/>
            </w:tcBorders>
            <w:shd w:val="clear" w:color="auto" w:fill="FFFFFF"/>
          </w:tcPr>
          <w:p w14:paraId="29B0AA1E"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Спроведување на план за пренасочување кон алтернативен аеродром (визуелно летање)“;</w:t>
            </w:r>
          </w:p>
        </w:tc>
      </w:tr>
    </w:tbl>
    <w:p w14:paraId="7DB01086" w14:textId="2318CBB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Во Оддел 6, ред (г) се заменува со следново:</w:t>
      </w:r>
    </w:p>
    <w:tbl>
      <w:tblPr>
        <w:tblW w:w="0" w:type="auto"/>
        <w:tblInd w:w="40" w:type="dxa"/>
        <w:tblLayout w:type="fixed"/>
        <w:tblCellMar>
          <w:left w:w="40" w:type="dxa"/>
          <w:right w:w="40" w:type="dxa"/>
        </w:tblCellMar>
        <w:tblLook w:val="0000" w:firstRow="0" w:lastRow="0" w:firstColumn="0" w:lastColumn="0" w:noHBand="0" w:noVBand="0"/>
      </w:tblPr>
      <w:tblGrid>
        <w:gridCol w:w="758"/>
        <w:gridCol w:w="6725"/>
      </w:tblGrid>
      <w:tr w:rsidR="00330A3B" w:rsidRPr="00D779B0" w14:paraId="1CFF79D3" w14:textId="77777777">
        <w:trPr>
          <w:trHeight w:val="360"/>
        </w:trPr>
        <w:tc>
          <w:tcPr>
            <w:tcW w:w="758" w:type="dxa"/>
            <w:tcBorders>
              <w:top w:val="single" w:sz="6" w:space="0" w:color="auto"/>
              <w:left w:val="nil"/>
              <w:bottom w:val="single" w:sz="6" w:space="0" w:color="auto"/>
              <w:right w:val="single" w:sz="6" w:space="0" w:color="auto"/>
            </w:tcBorders>
            <w:shd w:val="clear" w:color="auto" w:fill="FFFFFF"/>
          </w:tcPr>
          <w:p w14:paraId="6676F178"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p>
        </w:tc>
        <w:tc>
          <w:tcPr>
            <w:tcW w:w="6725" w:type="dxa"/>
            <w:tcBorders>
              <w:top w:val="single" w:sz="6" w:space="0" w:color="auto"/>
              <w:left w:val="single" w:sz="6" w:space="0" w:color="auto"/>
              <w:bottom w:val="single" w:sz="6" w:space="0" w:color="auto"/>
              <w:right w:val="nil"/>
            </w:tcBorders>
            <w:shd w:val="clear" w:color="auto" w:fill="FFFFFF"/>
          </w:tcPr>
          <w:p w14:paraId="7C1A6E1E"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Прекин на работата и рестартирање на моторот (ако е избрано од испитувачот)“;</w:t>
            </w:r>
          </w:p>
        </w:tc>
      </w:tr>
    </w:tbl>
    <w:p w14:paraId="0FF1501F" w14:textId="55E7E37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(53)</w:t>
      </w:r>
      <w:r w:rsidRPr="00D779B0">
        <w:rPr>
          <w:rFonts w:ascii="Times New Roman" w:hAnsi="Times New Roman" w:cs="Times New Roman"/>
          <w:color w:val="000000"/>
          <w:sz w:val="24"/>
          <w:szCs w:val="24"/>
        </w:rPr>
        <w:tab/>
        <w:t>Додаток 8 се изменува како што следува:</w:t>
      </w:r>
    </w:p>
    <w:p w14:paraId="379B7F24" w14:textId="28A6414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насловот се заменува со следново:</w:t>
      </w:r>
    </w:p>
    <w:p w14:paraId="636965A9" w14:textId="77777777" w:rsidR="00330A3B" w:rsidRPr="00D779B0" w:rsidRDefault="006D29A5" w:rsidP="00EB25FD">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t>„Додаток 8</w:t>
      </w:r>
    </w:p>
    <w:p w14:paraId="5FF29BEB" w14:textId="45899655" w:rsidR="00330A3B" w:rsidRPr="00D779B0" w:rsidRDefault="006D29A5" w:rsidP="00EB25FD">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Признавање на елементи од IR-делот од проверка на стручноста за класа или тип или практична процена по EBT“;</w:t>
      </w:r>
    </w:p>
    <w:p w14:paraId="79546753" w14:textId="39233E8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во Оддел А, табелата, првиот и вториот ред се заменуваат со следново:</w:t>
      </w:r>
    </w:p>
    <w:tbl>
      <w:tblPr>
        <w:tblW w:w="8679" w:type="dxa"/>
        <w:tblInd w:w="40" w:type="dxa"/>
        <w:tblBorders>
          <w:top w:val="single" w:sz="6" w:space="0" w:color="auto"/>
          <w:bottom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085"/>
        <w:gridCol w:w="4594"/>
      </w:tblGrid>
      <w:tr w:rsidR="00EB25FD" w:rsidRPr="00D779B0" w14:paraId="2DD3EFCA" w14:textId="77777777" w:rsidTr="00864575">
        <w:trPr>
          <w:trHeight w:val="456"/>
        </w:trPr>
        <w:tc>
          <w:tcPr>
            <w:tcW w:w="4085" w:type="dxa"/>
            <w:shd w:val="clear" w:color="auto" w:fill="FFFFFF"/>
          </w:tcPr>
          <w:p w14:paraId="360CDD01" w14:textId="0E2B8B48" w:rsidR="00EB25FD" w:rsidRPr="00D779B0" w:rsidRDefault="00EB25FD" w:rsidP="00EB25FD">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„Доколку се врши тест за вештини, проверка на стручноста или практична процена по EBT, </w:t>
            </w:r>
            <w:r w:rsidR="00C31894">
              <w:rPr>
                <w:rFonts w:ascii="Times New Roman" w:hAnsi="Times New Roman" w:cs="Times New Roman"/>
                <w:color w:val="000000"/>
                <w:sz w:val="24"/>
                <w:szCs w:val="24"/>
              </w:rPr>
              <w:t xml:space="preserve">вклучително и </w:t>
            </w:r>
            <w:r w:rsidRPr="00D779B0">
              <w:rPr>
                <w:rFonts w:ascii="Times New Roman" w:hAnsi="Times New Roman" w:cs="Times New Roman"/>
                <w:color w:val="000000"/>
                <w:sz w:val="24"/>
                <w:szCs w:val="24"/>
              </w:rPr>
              <w:t>IR, и носителите имаат:</w:t>
            </w:r>
          </w:p>
        </w:tc>
        <w:tc>
          <w:tcPr>
            <w:tcW w:w="4594" w:type="dxa"/>
            <w:shd w:val="clear" w:color="auto" w:fill="FFFFFF"/>
          </w:tcPr>
          <w:p w14:paraId="268740F6" w14:textId="77777777" w:rsidR="00EB25FD" w:rsidRPr="00D779B0" w:rsidRDefault="00EB25FD"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Признавањето важи за IR-делот од проверката на стручноста за:</w:t>
            </w:r>
          </w:p>
        </w:tc>
      </w:tr>
      <w:tr w:rsidR="00EB25FD" w:rsidRPr="00D779B0" w14:paraId="3BFC2224" w14:textId="77777777" w:rsidTr="00EB25FD">
        <w:trPr>
          <w:trHeight w:val="797"/>
        </w:trPr>
        <w:tc>
          <w:tcPr>
            <w:tcW w:w="4085" w:type="dxa"/>
            <w:shd w:val="clear" w:color="auto" w:fill="FFFFFF"/>
          </w:tcPr>
          <w:p w14:paraId="160CF085" w14:textId="7D1FE8CF" w:rsidR="00EB25FD" w:rsidRPr="00D779B0" w:rsidRDefault="00EB25FD" w:rsidP="00EB25FD">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овластување за тип на MPA со важност; овластување за тип на сложени авиони со високи перформанси со само еден пилот со важност</w:t>
            </w:r>
          </w:p>
        </w:tc>
        <w:tc>
          <w:tcPr>
            <w:tcW w:w="4594" w:type="dxa"/>
            <w:shd w:val="clear" w:color="auto" w:fill="FFFFFF"/>
          </w:tcPr>
          <w:p w14:paraId="329331AD" w14:textId="77777777" w:rsidR="00EB25FD" w:rsidRPr="00D779B0" w:rsidRDefault="00EB25FD"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овластување за тип на SE (*), и</w:t>
            </w:r>
          </w:p>
          <w:p w14:paraId="53E593FC" w14:textId="77777777" w:rsidR="00EB25FD" w:rsidRPr="00D779B0" w:rsidRDefault="00EB25FD"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овластување за тип на SE (*), и</w:t>
            </w:r>
          </w:p>
          <w:p w14:paraId="0973D697" w14:textId="6FACBD4D" w:rsidR="00EB25FD" w:rsidRPr="00D779B0" w:rsidRDefault="00EB25FD" w:rsidP="00EB25FD">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овластување за тип на SP ME, освен за </w:t>
            </w:r>
            <w:r w:rsidRPr="00D779B0">
              <w:rPr>
                <w:rFonts w:ascii="Times New Roman" w:hAnsi="Times New Roman" w:cs="Times New Roman"/>
                <w:color w:val="000000"/>
                <w:sz w:val="24"/>
                <w:szCs w:val="24"/>
              </w:rPr>
              <w:lastRenderedPageBreak/>
              <w:t>овластувања за тип на сложен воздухоплов со високи перформанси, се признав само Оддел 3Б од проверката на стручноста во точка Б.5 од Додаток 9 (*)“;</w:t>
            </w:r>
          </w:p>
        </w:tc>
      </w:tr>
    </w:tbl>
    <w:p w14:paraId="71364E59" w14:textId="1DA02D5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(54)</w:t>
      </w:r>
      <w:r w:rsidRPr="00D779B0">
        <w:rPr>
          <w:rFonts w:ascii="Times New Roman" w:hAnsi="Times New Roman" w:cs="Times New Roman"/>
          <w:color w:val="000000"/>
          <w:sz w:val="24"/>
          <w:szCs w:val="24"/>
        </w:rPr>
        <w:tab/>
        <w:t>Додаток 9 се изменува како што следува:</w:t>
      </w:r>
    </w:p>
    <w:p w14:paraId="4B688D70" w14:textId="74C61D2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насловот се заменува со следново:</w:t>
      </w:r>
    </w:p>
    <w:p w14:paraId="0506EB1E" w14:textId="77777777" w:rsidR="00330A3B" w:rsidRPr="00D779B0" w:rsidRDefault="006D29A5" w:rsidP="00EB25FD">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t>„Додаток 9</w:t>
      </w:r>
    </w:p>
    <w:p w14:paraId="757680D0" w14:textId="77777777" w:rsidR="00330A3B" w:rsidRPr="00D779B0" w:rsidRDefault="006D29A5" w:rsidP="00EB25FD">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Обука, тест за вештини и проверка на стручноста за MPL, и ATPL, и за овластувања за тип и класа, и проверки на стручноста за BIR и IR“;</w:t>
      </w:r>
    </w:p>
    <w:p w14:paraId="5E389E20" w14:textId="7743A94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Оддел А се изменува како што следува:</w:t>
      </w:r>
    </w:p>
    <w:p w14:paraId="3D17277D" w14:textId="1E0933A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точка 1 се заменува со следново:</w:t>
      </w:r>
    </w:p>
    <w:p w14:paraId="3C52B589" w14:textId="74D6512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Кандидатите за тест за вештини завршиле оспособување за истата класа или тип на воздухоплов кој се користи за тестот.“;</w:t>
      </w:r>
    </w:p>
    <w:p w14:paraId="4C0B1B6A" w14:textId="677200E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се вметнуваат следниве точки од 1а до 1ѓ:</w:t>
      </w:r>
    </w:p>
    <w:p w14:paraId="612798C2" w14:textId="4F60D18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„1a.</w:t>
      </w:r>
      <w:r w:rsidRPr="00D779B0">
        <w:rPr>
          <w:rFonts w:ascii="Times New Roman" w:hAnsi="Times New Roman" w:cs="Times New Roman"/>
          <w:color w:val="000000"/>
          <w:sz w:val="24"/>
          <w:szCs w:val="24"/>
        </w:rPr>
        <w:tab/>
        <w:t>Обуката за FFS во согласност со точките 1б и 1в од овој оддел се надополнува со обука за полетување и слетување на воздухоплов со само еден пилот кој се оперира во операции со еден или повеќе пилоти, или на воздухоплов со повеќе пилоти, како што е применливо, во согласност со точка 17 од овој оддел, освен ако обуката се завршува во согласност со точка FCL.730.A или претставува обука за копилоти на крстарење во согласност со Оддел Б, точка 6(i) од овој додаток.</w:t>
      </w:r>
    </w:p>
    <w:p w14:paraId="471C2FDB" w14:textId="7D2AE9F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1б.</w:t>
      </w:r>
      <w:r w:rsidRPr="00D779B0">
        <w:rPr>
          <w:rFonts w:ascii="Times New Roman" w:hAnsi="Times New Roman" w:cs="Times New Roman"/>
          <w:color w:val="000000"/>
          <w:sz w:val="24"/>
          <w:szCs w:val="24"/>
        </w:rPr>
        <w:tab/>
        <w:t>Обуката за овластувања за тип на MPA и PL се спроведува на FFS или во комбинација од FSTD и FFS. Тестот за вештини или проверката на стручноста за овластувања за тип на MPA и PL и издавањето на ATPL и MPL се спроведуваат на FFS, доколку е расположлив.</w:t>
      </w:r>
    </w:p>
    <w:p w14:paraId="1F64B52F" w14:textId="1DACF19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1в.</w:t>
      </w:r>
      <w:r w:rsidRPr="00D779B0">
        <w:rPr>
          <w:rFonts w:ascii="Times New Roman" w:hAnsi="Times New Roman" w:cs="Times New Roman"/>
          <w:color w:val="000000"/>
          <w:sz w:val="24"/>
          <w:szCs w:val="24"/>
        </w:rPr>
        <w:tab/>
        <w:t>Обуката, тестот за вештини или проверката на стручноста за овластувања за класа или тип за SPA и хеликоптери се спроведуваат на едно од следново:</w:t>
      </w:r>
    </w:p>
    <w:p w14:paraId="758790A1" w14:textId="6B20CD4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расположлив и достапен FFS, или комбинација од таков FFS и FSTD;</w:t>
      </w:r>
    </w:p>
    <w:p w14:paraId="6CC47868" w14:textId="59C55E7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комбинација од FSTD и воздухопловот доколку FFS не е расположлив или достапен;</w:t>
      </w:r>
    </w:p>
    <w:p w14:paraId="484C1ACD" w14:textId="3BA4C69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воздухопловот доколку FSTD не е расположлив или достапен.</w:t>
      </w:r>
    </w:p>
    <w:p w14:paraId="2AAD0F67" w14:textId="30F24D9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1г.</w:t>
      </w:r>
      <w:r w:rsidRPr="00D779B0">
        <w:rPr>
          <w:rFonts w:ascii="Times New Roman" w:hAnsi="Times New Roman" w:cs="Times New Roman"/>
          <w:color w:val="000000"/>
          <w:sz w:val="24"/>
          <w:szCs w:val="24"/>
        </w:rPr>
        <w:tab/>
        <w:t>По пат на отстапување од точка 1в, обуката, тестот за вештини или проверката на стручноста за овластувања за класа или тип за несложени SPA и за несложени хеликоптери може да се спроведат во комбинација од FSTD и воздухопловот дури и ако FFS е расположлив и достапен.</w:t>
      </w:r>
    </w:p>
    <w:p w14:paraId="4C34AF98" w14:textId="378B08D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1д.</w:t>
      </w:r>
      <w:r w:rsidRPr="00D779B0">
        <w:rPr>
          <w:rFonts w:ascii="Times New Roman" w:hAnsi="Times New Roman" w:cs="Times New Roman"/>
          <w:color w:val="000000"/>
          <w:sz w:val="24"/>
          <w:szCs w:val="24"/>
        </w:rPr>
        <w:tab/>
        <w:t xml:space="preserve">По пат на отстапување од точка 1в, обуката, тестот за вештини или </w:t>
      </w:r>
      <w:r w:rsidRPr="00D779B0">
        <w:rPr>
          <w:rFonts w:ascii="Times New Roman" w:hAnsi="Times New Roman" w:cs="Times New Roman"/>
          <w:color w:val="000000"/>
          <w:sz w:val="24"/>
          <w:szCs w:val="24"/>
        </w:rPr>
        <w:lastRenderedPageBreak/>
        <w:t xml:space="preserve">проверката на стручноста за </w:t>
      </w:r>
      <w:r w:rsidR="00D33DE6" w:rsidRPr="00D779B0">
        <w:rPr>
          <w:rFonts w:ascii="Times New Roman" w:hAnsi="Times New Roman" w:cs="Times New Roman"/>
          <w:color w:val="000000"/>
          <w:sz w:val="24"/>
          <w:szCs w:val="24"/>
        </w:rPr>
        <w:t xml:space="preserve">кое било </w:t>
      </w:r>
      <w:r w:rsidRPr="00D779B0">
        <w:rPr>
          <w:rFonts w:ascii="Times New Roman" w:hAnsi="Times New Roman" w:cs="Times New Roman"/>
          <w:color w:val="000000"/>
          <w:sz w:val="24"/>
          <w:szCs w:val="24"/>
        </w:rPr>
        <w:t>од следново може да се спроведат во согласност со точките 1в(а), (б) или (в), без оглед на расположливоста и достапноста на FFS или FSTD:</w:t>
      </w:r>
    </w:p>
    <w:p w14:paraId="1C413782" w14:textId="698FED1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несложени авиони кои немаат високи перформанси со само еден пилот;</w:t>
      </w:r>
    </w:p>
    <w:p w14:paraId="0CFB2F2D" w14:textId="3F8FF82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TMG;</w:t>
      </w:r>
    </w:p>
    <w:p w14:paraId="1B4D86A0" w14:textId="01C1A3F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несложени хеликоптери за кои максималната одобрена конфигурација на седиштата не надминува пет седишта.</w:t>
      </w:r>
    </w:p>
    <w:p w14:paraId="08326139" w14:textId="6BDF2F7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1ѓ.</w:t>
      </w:r>
      <w:r w:rsidRPr="00D779B0">
        <w:rPr>
          <w:rFonts w:ascii="Times New Roman" w:hAnsi="Times New Roman" w:cs="Times New Roman"/>
          <w:color w:val="000000"/>
          <w:sz w:val="24"/>
          <w:szCs w:val="24"/>
        </w:rPr>
        <w:tab/>
        <w:t>Ако FSTD се користат за време на обука, тестирање или проверка, соодветноста на FSTD кои се користат се потврдува во однос на применливата „Табела на функции и субјективни тестови“ и применливата „Табела на тестови за потврдување на FSTD“ содржани во примарниот референтен документ применлив за уредот кој се користи. Се зема</w:t>
      </w:r>
      <w:r w:rsidR="0002435F">
        <w:rPr>
          <w:rFonts w:ascii="Times New Roman" w:hAnsi="Times New Roman" w:cs="Times New Roman"/>
          <w:color w:val="000000"/>
          <w:sz w:val="24"/>
          <w:szCs w:val="24"/>
        </w:rPr>
        <w:t>а</w:t>
      </w:r>
      <w:r w:rsidRPr="00D779B0">
        <w:rPr>
          <w:rFonts w:ascii="Times New Roman" w:hAnsi="Times New Roman" w:cs="Times New Roman"/>
          <w:color w:val="000000"/>
          <w:sz w:val="24"/>
          <w:szCs w:val="24"/>
        </w:rPr>
        <w:t>т предвид сите ограничувања наведени во уверението за квалификација на уредот.“;</w:t>
      </w:r>
    </w:p>
    <w:p w14:paraId="0FC88AEC" w14:textId="5EE8351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насловот пред точка 13 се заменува со следново:</w:t>
      </w:r>
    </w:p>
    <w:p w14:paraId="1B863097"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„КОНКРЕТНИ УСЛОВИ ЗА ОБУКАТА, ТЕСТОТ ЗА ВЕШТИНИ/ПРОВЕРКА НА СТРУЧНОСТА ЗА ОВЛАСТУВАЊА ЗА ТИП НА ВОЗДУХОПЛОВИ СО ПОВЕЌЕ ПИЛОТИ, ЗА ВОЗДУХОПЛОВ СО САМО ЕДЕН ПИЛОТ КОГА СЕ ОПЕРИРА ВО ОПЕРАЦИИ СО ПОВЕЌЕ ПИЛОТИ, ЗА MPL И ЗА ATPL“;</w:t>
      </w:r>
    </w:p>
    <w:p w14:paraId="0602D4D2" w14:textId="3FC4B3D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точка 17 се изменува како што следува:</w:t>
      </w:r>
    </w:p>
    <w:p w14:paraId="35AB261A" w14:textId="6C2BEE3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0002435F">
        <w:rPr>
          <w:rFonts w:ascii="Times New Roman" w:hAnsi="Times New Roman" w:cs="Times New Roman"/>
          <w:color w:val="000000"/>
          <w:sz w:val="24"/>
          <w:szCs w:val="24"/>
        </w:rPr>
        <w:tab/>
      </w:r>
      <w:r w:rsidRPr="00D779B0">
        <w:rPr>
          <w:rFonts w:ascii="Times New Roman" w:hAnsi="Times New Roman" w:cs="Times New Roman"/>
          <w:color w:val="000000"/>
          <w:sz w:val="24"/>
          <w:szCs w:val="24"/>
        </w:rPr>
        <w:t>првиот став се заменува со следново:</w:t>
      </w:r>
    </w:p>
    <w:p w14:paraId="01E17490"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„Кога нивниот курс за овластување за тип вклучува помалку од 2 часа обука за летање на воздухопловот, кандидатите, пред или по тестот за вештини, завршуваат обука за летање на воздухопловот.“;</w:t>
      </w:r>
    </w:p>
    <w:p w14:paraId="414165DF" w14:textId="7C9424A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во вториот став, воведната фраза се заменува со следново:</w:t>
      </w:r>
    </w:p>
    <w:p w14:paraId="04EDE047"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„Таквата одобрена обука за летање вклучува маневри за полетување и слетување и ја врши квалификуван инструктор под одговорност на:“;</w:t>
      </w:r>
    </w:p>
    <w:p w14:paraId="34C1BA1E" w14:textId="473FE45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Оддел Б се изменува како што следува:</w:t>
      </w:r>
    </w:p>
    <w:p w14:paraId="070DDED4" w14:textId="7098159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 точка 5 се изменува како што следува:</w:t>
      </w:r>
    </w:p>
    <w:p w14:paraId="3A2A1AE5" w14:textId="79A2F61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точките (е), (ж), (з) и (ѕ) се заменуваат со следново:</w:t>
      </w:r>
    </w:p>
    <w:p w14:paraId="7C569FA6" w14:textId="6237AD1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„(е)</w:t>
      </w:r>
      <w:r w:rsidRPr="00D779B0">
        <w:rPr>
          <w:rFonts w:ascii="Times New Roman" w:hAnsi="Times New Roman" w:cs="Times New Roman"/>
          <w:color w:val="000000"/>
          <w:sz w:val="24"/>
          <w:szCs w:val="24"/>
        </w:rPr>
        <w:tab/>
        <w:t>За да ги остварат правата за овластување за класа или тип во операции со повеќе пилоти во согласност со точка FCL.725(г) или (га), пилотите кои веќе имаат право да оперираат во релевантната класа или тип на авион во операции со само еден пилот ги исполнуваат следниве услови:</w:t>
      </w:r>
    </w:p>
    <w:p w14:paraId="2237A90E" w14:textId="6C5FCBD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завршуваат еквивалентен курс кој содржи маневри и процедури </w:t>
      </w:r>
      <w:r w:rsidR="00C31894">
        <w:rPr>
          <w:rFonts w:ascii="Times New Roman" w:hAnsi="Times New Roman" w:cs="Times New Roman"/>
          <w:color w:val="000000"/>
          <w:sz w:val="24"/>
          <w:szCs w:val="24"/>
        </w:rPr>
        <w:t xml:space="preserve">вклучително и </w:t>
      </w:r>
      <w:r w:rsidRPr="00D779B0">
        <w:rPr>
          <w:rFonts w:ascii="Times New Roman" w:hAnsi="Times New Roman" w:cs="Times New Roman"/>
          <w:color w:val="000000"/>
          <w:sz w:val="24"/>
          <w:szCs w:val="24"/>
        </w:rPr>
        <w:t xml:space="preserve">MCC, како и вежбите од Оддел 7 користејќи управување со закани и грешки (TEM), CRM и човечки фактори во организација која е наведена во </w:t>
      </w:r>
      <w:r w:rsidRPr="00D779B0">
        <w:rPr>
          <w:rFonts w:ascii="Times New Roman" w:hAnsi="Times New Roman" w:cs="Times New Roman"/>
          <w:color w:val="000000"/>
          <w:sz w:val="24"/>
          <w:szCs w:val="24"/>
        </w:rPr>
        <w:lastRenderedPageBreak/>
        <w:t>точка FCL.725(г)(1)(i);</w:t>
      </w:r>
    </w:p>
    <w:p w14:paraId="4C5D3A67" w14:textId="1699AC6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поминуваат проверка на стручноста во операции со повеќе пилоти.</w:t>
      </w:r>
    </w:p>
    <w:p w14:paraId="2F9663BA" w14:textId="45F4990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(ж)</w:t>
      </w:r>
      <w:r w:rsidRPr="00D779B0">
        <w:rPr>
          <w:rFonts w:ascii="Times New Roman" w:hAnsi="Times New Roman" w:cs="Times New Roman"/>
          <w:color w:val="000000"/>
          <w:sz w:val="24"/>
          <w:szCs w:val="24"/>
        </w:rPr>
        <w:tab/>
        <w:t>За да ги остварат правата за овластување за тип во операции со само еден пилот во согласност со точка FCL.725(г), пилотите кои веќе имаат право да оперираат во релевантниот тип на авион во операции со повеќе пилоти се обучуваат во организација која е наведена во точка FCL.725(г)(1)(i) и се проверуваат за следниве дополнителни маневри и процедури во операции со само еден пилот:</w:t>
      </w:r>
    </w:p>
    <w:p w14:paraId="377C9609" w14:textId="4BCA48A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 xml:space="preserve">за SE-авиони 1.6, 4.5, 4.6, 5.2 и, доколку е применливо, еден </w:t>
      </w:r>
      <w:r w:rsidR="00A23157" w:rsidRPr="00D779B0">
        <w:rPr>
          <w:rFonts w:ascii="Times New Roman" w:hAnsi="Times New Roman" w:cs="Times New Roman"/>
          <w:color w:val="000000"/>
          <w:sz w:val="24"/>
          <w:szCs w:val="24"/>
        </w:rPr>
        <w:t xml:space="preserve">приод </w:t>
      </w:r>
      <w:r w:rsidRPr="00D779B0">
        <w:rPr>
          <w:rFonts w:ascii="Times New Roman" w:hAnsi="Times New Roman" w:cs="Times New Roman"/>
          <w:color w:val="000000"/>
          <w:sz w:val="24"/>
          <w:szCs w:val="24"/>
        </w:rPr>
        <w:t>од Оддел 3.Б;</w:t>
      </w:r>
    </w:p>
    <w:p w14:paraId="4194AB57" w14:textId="4BDAB94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за ME-авиони 1.6, Оддел 6 и, доколку е применливо, еден </w:t>
      </w:r>
      <w:r w:rsidR="00A23157" w:rsidRPr="00D779B0">
        <w:rPr>
          <w:rFonts w:ascii="Times New Roman" w:hAnsi="Times New Roman" w:cs="Times New Roman"/>
          <w:color w:val="000000"/>
          <w:sz w:val="24"/>
          <w:szCs w:val="24"/>
        </w:rPr>
        <w:t xml:space="preserve">приод </w:t>
      </w:r>
      <w:r w:rsidRPr="00D779B0">
        <w:rPr>
          <w:rFonts w:ascii="Times New Roman" w:hAnsi="Times New Roman" w:cs="Times New Roman"/>
          <w:color w:val="000000"/>
          <w:sz w:val="24"/>
          <w:szCs w:val="24"/>
        </w:rPr>
        <w:t>од Оддел 3.Б;</w:t>
      </w:r>
    </w:p>
    <w:p w14:paraId="7F7DFACC" w14:textId="4B9A99A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Пилотите кои имаат право да ги остварат правата за овластување на класа или тип и во операции со само еден пилот и во операции со повеќе пилоти во согласност со точките (е) и (ж) може да ги задржат правата за двете форми на операција со завршување на едно од следново:</w:t>
      </w:r>
    </w:p>
    <w:p w14:paraId="1F0B6E48" w14:textId="1590DE7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две проверки на стручноста, една во операции со само еден пилот и една во операции со повеќе пилоти;</w:t>
      </w:r>
    </w:p>
    <w:p w14:paraId="14927189" w14:textId="5A37328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проверка на стручноста во операции со повеќе пилоти, како дополнување на вежбите наведени во точките (ж)(i) или (ж)(ii), како што е применливо, во операции со само еден пилот.</w:t>
      </w:r>
    </w:p>
    <w:p w14:paraId="511A6325"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Проверките на стручноста за повторното потврдување на важноста или обновувањето на овластувањата за класа секогаш ги вклучуваат вежбите наведени во точките (ж)(i) или (ж)(ii), како што е применливо, во операции со само еден пилот.</w:t>
      </w:r>
    </w:p>
    <w:p w14:paraId="7C5A5C21"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(ѕ)</w:t>
      </w:r>
      <w:r w:rsidRPr="00D779B0">
        <w:rPr>
          <w:rFonts w:ascii="Times New Roman" w:hAnsi="Times New Roman" w:cs="Times New Roman"/>
          <w:color w:val="000000"/>
          <w:sz w:val="24"/>
          <w:szCs w:val="24"/>
        </w:rPr>
        <w:tab/>
        <w:t>За да се отстрани ограничувањето за операции со повеќе пилоти од овластување за тип на авион со само еден пилот во согласност со точка FCL.725(г)(2), пилотите ја исполнуваат точка (ж).“;</w:t>
      </w:r>
    </w:p>
    <w:p w14:paraId="318D4817" w14:textId="4A195D5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во точка (ј), првиот и вториот став се заменуваат со следново:</w:t>
      </w:r>
    </w:p>
    <w:p w14:paraId="141355A0" w14:textId="5D6C2B8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„За да се добијат или задржат права за PBN, еден </w:t>
      </w:r>
      <w:r w:rsidR="00A23157">
        <w:rPr>
          <w:rFonts w:ascii="Times New Roman" w:hAnsi="Times New Roman" w:cs="Times New Roman"/>
          <w:color w:val="000000"/>
          <w:sz w:val="24"/>
          <w:szCs w:val="24"/>
        </w:rPr>
        <w:t>приод</w:t>
      </w:r>
      <w:r w:rsidR="00A23157"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е RNP APCH. Кога RNP APCH не е изводлив, се врши на соодветно опремен FSTD.</w:t>
      </w:r>
    </w:p>
    <w:p w14:paraId="44C8A89A" w14:textId="19CF5E5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По пат на отстапување од првиот став, во случаите кога се врши проверка на стручноста за повторно потврдување на важноста на правата за PBN на воздухоплов или FSTD кој го претставува тој воздухоплов, кои не се опремени за маневри за RNP APCH, проверката на стручноста може да не вклучува вежби за RNP APCH. Во такви случаи, правата за PBN на пилотот не вклучуваат RNP APCH. Ограничувањето се укинува доколку пилотот завршил проверка на стручноста, </w:t>
      </w:r>
      <w:r w:rsidR="00C31894">
        <w:rPr>
          <w:rFonts w:ascii="Times New Roman" w:hAnsi="Times New Roman" w:cs="Times New Roman"/>
          <w:color w:val="000000"/>
          <w:sz w:val="24"/>
          <w:szCs w:val="24"/>
        </w:rPr>
        <w:t xml:space="preserve">вклучително и </w:t>
      </w:r>
      <w:r w:rsidRPr="00D779B0">
        <w:rPr>
          <w:rFonts w:ascii="Times New Roman" w:hAnsi="Times New Roman" w:cs="Times New Roman"/>
          <w:color w:val="000000"/>
          <w:sz w:val="24"/>
          <w:szCs w:val="24"/>
        </w:rPr>
        <w:t>вежба за RNP APCH за релевантната класа или тип.“;</w:t>
      </w:r>
    </w:p>
    <w:p w14:paraId="60F8EEBD" w14:textId="5BAE320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точка 6 се изменува како што следува:</w:t>
      </w:r>
    </w:p>
    <w:p w14:paraId="48EBBDD9" w14:textId="707D50B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(i)</w:t>
      </w:r>
      <w:r w:rsidRPr="00D779B0">
        <w:rPr>
          <w:rFonts w:ascii="Times New Roman" w:hAnsi="Times New Roman" w:cs="Times New Roman"/>
          <w:color w:val="000000"/>
          <w:sz w:val="24"/>
          <w:szCs w:val="24"/>
        </w:rPr>
        <w:tab/>
        <w:t>точка (ж) се заменува со следново:</w:t>
      </w:r>
    </w:p>
    <w:p w14:paraId="16DF0AF9" w14:textId="4363308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„(ж)</w:t>
      </w:r>
      <w:r w:rsidRPr="00D779B0">
        <w:rPr>
          <w:rFonts w:ascii="Times New Roman" w:hAnsi="Times New Roman" w:cs="Times New Roman"/>
          <w:color w:val="000000"/>
          <w:sz w:val="24"/>
          <w:szCs w:val="24"/>
        </w:rPr>
        <w:tab/>
        <w:t xml:space="preserve">За да се отстрани ограничувањето за операции со повеќе пилоти во согласност со точка FCL.725(г)(2) од овластување за тип на сложени авиони со високи перформанси со само еден пилот, пилотите ги завршуваат маневрите/процедурите во 2.5, 3.8.3.4, 4.4, 5.5 и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еден маневар/процедура од Оддел 3.4 во операција со само еден пилот.“;</w:t>
      </w:r>
    </w:p>
    <w:p w14:paraId="05B49D78" w14:textId="6D2CE84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точка (i) се заменува со следново:</w:t>
      </w:r>
    </w:p>
    <w:p w14:paraId="7D09C21B" w14:textId="7E320C4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 xml:space="preserve">Кандидатите за и имателите на ограничено овластување за тип издадено во согласност со точка FCL.720.A(в) завршуваат обука, тестови за вештини и проверки на стручноста во согласност со овој додаток. Меѓутоа, освен ако не </w:t>
      </w:r>
      <w:r w:rsidR="00C31894">
        <w:rPr>
          <w:rFonts w:ascii="Times New Roman" w:hAnsi="Times New Roman" w:cs="Times New Roman"/>
          <w:color w:val="000000"/>
          <w:sz w:val="24"/>
          <w:szCs w:val="24"/>
        </w:rPr>
        <w:t>се подложни</w:t>
      </w:r>
      <w:r w:rsidR="00C31894"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 xml:space="preserve">на тест за вештини во согласност со точка FCL.720.A(в)(3), тие, за време на тест за вештини или проверка на стручноста, вршат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маневри за слетување во својство на пилот кој надгледува, но не се бара да го вршат следново:</w:t>
      </w:r>
    </w:p>
    <w:p w14:paraId="7A688AE1" w14:textId="1927856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маневри за полетување;</w:t>
      </w:r>
    </w:p>
    <w:p w14:paraId="17A4CA5C" w14:textId="3A72193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маневри за слетување во својство на пилот кој лета.“;</w:t>
      </w:r>
    </w:p>
    <w:p w14:paraId="27F3DF33" w14:textId="6F49941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во точка (ѕ), првиот и вториот став се заменуваат со следново:</w:t>
      </w:r>
    </w:p>
    <w:p w14:paraId="51C66EB5" w14:textId="1833098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„За да се добијат или задржат права за PBN, еден </w:t>
      </w:r>
      <w:r w:rsidR="00A23157">
        <w:rPr>
          <w:rFonts w:ascii="Times New Roman" w:hAnsi="Times New Roman" w:cs="Times New Roman"/>
          <w:color w:val="000000"/>
          <w:sz w:val="24"/>
          <w:szCs w:val="24"/>
        </w:rPr>
        <w:t>приод</w:t>
      </w:r>
      <w:r w:rsidR="00A23157"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е RNP APCH. Кога RNP APCH не е изводлив, се врши на соодветно опремен FSTD.</w:t>
      </w:r>
    </w:p>
    <w:p w14:paraId="44920506" w14:textId="7901987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По пат на отстапување од првиот став, во случаите кога се врши проверка на стручноста за повторно потврдување на важноста на правата за PBN на воздухоплов или FSTD кој го претставува тој воздухоплов, кои не се опремени за маневри за RNP APCH, проверката на стручноста може да не вклучува вежби за RNP APCH. Во такви случаи, правата за PBN на пилотот не вклучуваат RNP APCH. Ограничувањето се укинува доколку пилотот завршил проверка на стручноста, </w:t>
      </w:r>
      <w:r w:rsidR="00C31894">
        <w:rPr>
          <w:rFonts w:ascii="Times New Roman" w:hAnsi="Times New Roman" w:cs="Times New Roman"/>
          <w:color w:val="000000"/>
          <w:sz w:val="24"/>
          <w:szCs w:val="24"/>
        </w:rPr>
        <w:t xml:space="preserve">вклучително и </w:t>
      </w:r>
      <w:r w:rsidRPr="00D779B0">
        <w:rPr>
          <w:rFonts w:ascii="Times New Roman" w:hAnsi="Times New Roman" w:cs="Times New Roman"/>
          <w:color w:val="000000"/>
          <w:sz w:val="24"/>
          <w:szCs w:val="24"/>
        </w:rPr>
        <w:t>вежба за RNP APCH за релевантната класа или тип.“;</w:t>
      </w:r>
    </w:p>
    <w:p w14:paraId="30D786E8" w14:textId="28F006F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Оддел В се изменува како што следува:</w:t>
      </w:r>
    </w:p>
    <w:p w14:paraId="575F2FF2" w14:textId="1A3A4C9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табелата по точка 12 се изменува како што следува:</w:t>
      </w:r>
    </w:p>
    <w:p w14:paraId="79BF438F" w14:textId="1FD7B03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редот за вежба 2.6.1 се заменува со следново:</w:t>
      </w:r>
    </w:p>
    <w:tbl>
      <w:tblPr>
        <w:tblW w:w="0" w:type="auto"/>
        <w:tblInd w:w="40" w:type="dxa"/>
        <w:tblLayout w:type="fixed"/>
        <w:tblCellMar>
          <w:left w:w="40" w:type="dxa"/>
          <w:right w:w="40" w:type="dxa"/>
        </w:tblCellMar>
        <w:tblLook w:val="0000" w:firstRow="0" w:lastRow="0" w:firstColumn="0" w:lastColumn="0" w:noHBand="0" w:noVBand="0"/>
      </w:tblPr>
      <w:tblGrid>
        <w:gridCol w:w="878"/>
        <w:gridCol w:w="2410"/>
        <w:gridCol w:w="850"/>
        <w:gridCol w:w="994"/>
        <w:gridCol w:w="706"/>
        <w:gridCol w:w="1138"/>
        <w:gridCol w:w="461"/>
      </w:tblGrid>
      <w:tr w:rsidR="00330A3B" w:rsidRPr="00D779B0" w14:paraId="657EBB61" w14:textId="77777777">
        <w:trPr>
          <w:trHeight w:val="3686"/>
        </w:trPr>
        <w:tc>
          <w:tcPr>
            <w:tcW w:w="878" w:type="dxa"/>
            <w:tcBorders>
              <w:top w:val="single" w:sz="6" w:space="0" w:color="auto"/>
              <w:left w:val="nil"/>
              <w:bottom w:val="single" w:sz="6" w:space="0" w:color="auto"/>
              <w:right w:val="single" w:sz="6" w:space="0" w:color="auto"/>
            </w:tcBorders>
            <w:shd w:val="clear" w:color="auto" w:fill="FFFFFF"/>
          </w:tcPr>
          <w:p w14:paraId="398FAD53"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„2.6.1</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7F9240A"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За хеликоптери со еден мотор (SEH):</w:t>
            </w:r>
          </w:p>
          <w:p w14:paraId="0BE87A23" w14:textId="2E4CF66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w:t>
            </w:r>
            <w:r w:rsidRPr="00D779B0">
              <w:rPr>
                <w:rFonts w:ascii="Times New Roman" w:hAnsi="Times New Roman" w:cs="Times New Roman"/>
                <w:color w:val="000000"/>
                <w:sz w:val="24"/>
                <w:szCs w:val="24"/>
              </w:rPr>
              <w:tab/>
              <w:t>слетување од авторотација; или</w:t>
            </w:r>
          </w:p>
          <w:p w14:paraId="70A256C5" w14:textId="7D8E4D5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обновување на снагата, под услов кандидатите, во претходната година, да завршиле обука која слетување од авторотација и таа обуката да била внесена и потпишана во дневникот на кандидатите од инструкторот.</w:t>
            </w:r>
          </w:p>
          <w:p w14:paraId="1EE7BD67"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За хеликоптери со повеќе мотори (MEH): обновување на снагата.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3B59D962"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P</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00F54A97"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——&gt;</w:t>
            </w:r>
          </w:p>
        </w:tc>
        <w:tc>
          <w:tcPr>
            <w:tcW w:w="706" w:type="dxa"/>
            <w:tcBorders>
              <w:top w:val="single" w:sz="6" w:space="0" w:color="auto"/>
              <w:left w:val="single" w:sz="6" w:space="0" w:color="auto"/>
              <w:bottom w:val="single" w:sz="6" w:space="0" w:color="auto"/>
              <w:right w:val="single" w:sz="6" w:space="0" w:color="auto"/>
            </w:tcBorders>
            <w:shd w:val="clear" w:color="auto" w:fill="FFFFFF"/>
          </w:tcPr>
          <w:p w14:paraId="5D3B28FE"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41A08392"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M“&gt;</w:t>
            </w:r>
          </w:p>
        </w:tc>
        <w:tc>
          <w:tcPr>
            <w:tcW w:w="461" w:type="dxa"/>
            <w:tcBorders>
              <w:top w:val="single" w:sz="6" w:space="0" w:color="auto"/>
              <w:left w:val="single" w:sz="6" w:space="0" w:color="auto"/>
              <w:bottom w:val="single" w:sz="6" w:space="0" w:color="auto"/>
              <w:right w:val="nil"/>
            </w:tcBorders>
            <w:shd w:val="clear" w:color="auto" w:fill="FFFFFF"/>
          </w:tcPr>
          <w:p w14:paraId="45E4618A"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r>
    </w:tbl>
    <w:p w14:paraId="49E766AF" w14:textId="07847EF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редовите за вежбите 5.4.1 и 5.4.2 се заменуваат со следново:</w:t>
      </w:r>
    </w:p>
    <w:tbl>
      <w:tblPr>
        <w:tblW w:w="0" w:type="auto"/>
        <w:tblInd w:w="40" w:type="dxa"/>
        <w:tblLayout w:type="fixed"/>
        <w:tblCellMar>
          <w:left w:w="40" w:type="dxa"/>
          <w:right w:w="40" w:type="dxa"/>
        </w:tblCellMar>
        <w:tblLook w:val="0000" w:firstRow="0" w:lastRow="0" w:firstColumn="0" w:lastColumn="0" w:noHBand="0" w:noVBand="0"/>
      </w:tblPr>
      <w:tblGrid>
        <w:gridCol w:w="878"/>
        <w:gridCol w:w="2410"/>
        <w:gridCol w:w="850"/>
        <w:gridCol w:w="994"/>
        <w:gridCol w:w="706"/>
        <w:gridCol w:w="1138"/>
        <w:gridCol w:w="461"/>
      </w:tblGrid>
      <w:tr w:rsidR="00330A3B" w:rsidRPr="00D779B0" w14:paraId="2BC5EF2E" w14:textId="77777777">
        <w:trPr>
          <w:trHeight w:val="2491"/>
        </w:trPr>
        <w:tc>
          <w:tcPr>
            <w:tcW w:w="878" w:type="dxa"/>
            <w:tcBorders>
              <w:top w:val="single" w:sz="6" w:space="0" w:color="auto"/>
              <w:left w:val="nil"/>
              <w:bottom w:val="single" w:sz="6" w:space="0" w:color="auto"/>
              <w:right w:val="single" w:sz="6" w:space="0" w:color="auto"/>
            </w:tcBorders>
            <w:shd w:val="clear" w:color="auto" w:fill="FFFFFF"/>
          </w:tcPr>
          <w:p w14:paraId="4D5B175F"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„5.4.1</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A9C8283" w14:textId="4D4238C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Рачно, без систем за управување на летот Забелешка: Според AFM, процедурите за RNP APCH може да бараат користење на автопилот или систем за управување на летот. Процедурата за рачно летање се избира земајќи ги предвид таквите ограничувања (на пример, избор на ILS за 5.4.1 во случај на такво ограничување во AFM).</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21479DC1"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P*</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537BB780"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——&gt;*</w:t>
            </w:r>
          </w:p>
        </w:tc>
        <w:tc>
          <w:tcPr>
            <w:tcW w:w="706" w:type="dxa"/>
            <w:tcBorders>
              <w:top w:val="single" w:sz="6" w:space="0" w:color="auto"/>
              <w:left w:val="single" w:sz="6" w:space="0" w:color="auto"/>
              <w:bottom w:val="single" w:sz="6" w:space="0" w:color="auto"/>
              <w:right w:val="single" w:sz="6" w:space="0" w:color="auto"/>
            </w:tcBorders>
            <w:shd w:val="clear" w:color="auto" w:fill="FFFFFF"/>
          </w:tcPr>
          <w:p w14:paraId="4C3B80CB"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21C8B6AD"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M*</w:t>
            </w:r>
          </w:p>
          <w:p w14:paraId="2C14D6E7"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(освен ако вежба 5.4.2 не е завршена)</w:t>
            </w:r>
          </w:p>
        </w:tc>
        <w:tc>
          <w:tcPr>
            <w:tcW w:w="461" w:type="dxa"/>
            <w:tcBorders>
              <w:top w:val="single" w:sz="6" w:space="0" w:color="auto"/>
              <w:left w:val="single" w:sz="6" w:space="0" w:color="auto"/>
              <w:bottom w:val="single" w:sz="6" w:space="0" w:color="auto"/>
              <w:right w:val="nil"/>
            </w:tcBorders>
            <w:shd w:val="clear" w:color="auto" w:fill="FFFFFF"/>
          </w:tcPr>
          <w:p w14:paraId="36851D68"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r>
      <w:tr w:rsidR="00330A3B" w:rsidRPr="00D779B0" w14:paraId="6E93E84D" w14:textId="77777777" w:rsidTr="001B103A">
        <w:trPr>
          <w:trHeight w:val="59"/>
        </w:trPr>
        <w:tc>
          <w:tcPr>
            <w:tcW w:w="878" w:type="dxa"/>
            <w:tcBorders>
              <w:top w:val="single" w:sz="6" w:space="0" w:color="auto"/>
              <w:left w:val="nil"/>
              <w:bottom w:val="single" w:sz="6" w:space="0" w:color="auto"/>
              <w:right w:val="single" w:sz="6" w:space="0" w:color="auto"/>
            </w:tcBorders>
            <w:shd w:val="clear" w:color="auto" w:fill="FFFFFF"/>
          </w:tcPr>
          <w:p w14:paraId="63758DBA"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5.4.2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FCB067E"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Рачно, со систем за управување на летот</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1AC4D529"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P*</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0C324104"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——&gt;</w:t>
            </w:r>
            <w:r w:rsidRPr="00D779B0">
              <w:rPr>
                <w:rFonts w:ascii="Times New Roman" w:hAnsi="Times New Roman" w:cs="Times New Roman"/>
                <w:b/>
                <w:color w:val="000000"/>
                <w:sz w:val="24"/>
                <w:szCs w:val="24"/>
              </w:rPr>
              <w:t>*</w:t>
            </w:r>
          </w:p>
        </w:tc>
        <w:tc>
          <w:tcPr>
            <w:tcW w:w="706" w:type="dxa"/>
            <w:tcBorders>
              <w:top w:val="single" w:sz="6" w:space="0" w:color="auto"/>
              <w:left w:val="single" w:sz="6" w:space="0" w:color="auto"/>
              <w:bottom w:val="single" w:sz="6" w:space="0" w:color="auto"/>
              <w:right w:val="single" w:sz="6" w:space="0" w:color="auto"/>
            </w:tcBorders>
            <w:shd w:val="clear" w:color="auto" w:fill="FFFFFF"/>
          </w:tcPr>
          <w:p w14:paraId="7EF4F5FD"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14:paraId="168DEC50"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M*</w:t>
            </w:r>
          </w:p>
          <w:p w14:paraId="5DAF8736"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(освен ако вежба 5.4.1 не е завршена)</w:t>
            </w:r>
            <w:r w:rsidRPr="00D779B0">
              <w:rPr>
                <w:rFonts w:ascii="Times New Roman" w:hAnsi="Times New Roman" w:cs="Times New Roman"/>
                <w:color w:val="000000"/>
                <w:sz w:val="24"/>
                <w:szCs w:val="24"/>
              </w:rPr>
              <w:lastRenderedPageBreak/>
              <w:t>“;</w:t>
            </w:r>
          </w:p>
        </w:tc>
        <w:tc>
          <w:tcPr>
            <w:tcW w:w="461" w:type="dxa"/>
            <w:tcBorders>
              <w:top w:val="single" w:sz="6" w:space="0" w:color="auto"/>
              <w:left w:val="single" w:sz="6" w:space="0" w:color="auto"/>
              <w:bottom w:val="single" w:sz="6" w:space="0" w:color="auto"/>
              <w:right w:val="nil"/>
            </w:tcBorders>
            <w:shd w:val="clear" w:color="auto" w:fill="FFFFFF"/>
          </w:tcPr>
          <w:p w14:paraId="31E30DC4"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r>
    </w:tbl>
    <w:p w14:paraId="3B43B27B" w14:textId="72B7EA9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точка 13 се заменува со следново:</w:t>
      </w:r>
    </w:p>
    <w:p w14:paraId="2F22F0BA" w14:textId="4DFEDAD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„13.</w:t>
      </w:r>
      <w:r w:rsidRPr="00D779B0">
        <w:rPr>
          <w:rFonts w:ascii="Times New Roman" w:hAnsi="Times New Roman" w:cs="Times New Roman"/>
          <w:color w:val="000000"/>
          <w:sz w:val="24"/>
          <w:szCs w:val="24"/>
        </w:rPr>
        <w:tab/>
        <w:t>За да ги остварат правата за овластување за тип во согласност со точка FCL.725(г), кандидатите за издавањето, повторното потврдување на важноста или обновувањето на овластување за тип на хеликоптер со само еден пилот:</w:t>
      </w:r>
    </w:p>
    <w:p w14:paraId="6A79D374" w14:textId="0710381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за операции со само еден пилот, го завршуваат тестот за вештини или проверката на стручноста во операции со само еден пилот;</w:t>
      </w:r>
    </w:p>
    <w:p w14:paraId="5EB1F8B5" w14:textId="077B5E8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за операции со повеќе пилоти, го завршуваат тестот за вештини или проверката на стручноста во операции со повеќе пилоти;</w:t>
      </w:r>
    </w:p>
    <w:p w14:paraId="6C9F2359" w14:textId="502C2EE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и за операции со само еден пилот и за операции со повеќе пилот, го завршуваат тестот за вештини или проверката на стручноста во операции со повеќе пилоти; и, дополнително, следниве маневри и процедури во операции со само еден пилот:</w:t>
      </w:r>
    </w:p>
    <w:p w14:paraId="301C073E" w14:textId="43DB713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за хеликоптери со еден мотор: 2.1 полетување и 2.6 и 2.6.1 спуштање во авторотација и слетување од авторотација;</w:t>
      </w:r>
    </w:p>
    <w:p w14:paraId="3E4E9D61" w14:textId="309F063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 xml:space="preserve">за хеликоптери со повеќе мотори: 2.1 полетување и 2.4 и 2.4.1 дефекти на моторот непосредно пред и кратко време по </w:t>
      </w:r>
      <w:r w:rsidR="00C31894">
        <w:rPr>
          <w:rFonts w:ascii="Times New Roman" w:hAnsi="Times New Roman" w:cs="Times New Roman"/>
          <w:color w:val="000000"/>
          <w:sz w:val="24"/>
          <w:szCs w:val="24"/>
        </w:rPr>
        <w:t>постигнување</w:t>
      </w:r>
      <w:r w:rsidR="00C31894"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на TDP;</w:t>
      </w:r>
    </w:p>
    <w:p w14:paraId="68F8737E" w14:textId="0412B9D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 xml:space="preserve">за права за IR, покрај точка (1) или (2), како што е применливо, еден </w:t>
      </w:r>
      <w:r w:rsidR="00CF1257">
        <w:rPr>
          <w:rFonts w:ascii="Times New Roman" w:hAnsi="Times New Roman" w:cs="Times New Roman"/>
          <w:color w:val="000000"/>
          <w:sz w:val="24"/>
          <w:szCs w:val="24"/>
        </w:rPr>
        <w:t>приод</w:t>
      </w:r>
      <w:r w:rsidR="00CF1257"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од Оддел 5, освен ако не се исполнети критериумите од Додаток 8;</w:t>
      </w:r>
    </w:p>
    <w:p w14:paraId="1E73A023" w14:textId="418F7D6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со цел да се отстрани ограничувањето за операции со повеќе пилоти од овластување за тип на хеликоптер со само еден пилот во согласност со точка FCL.725(г)(2), завршуваат проверка на стручноста која ги вклучува маневрите и процедурите наведени во точките (в)(1) или (в)(2), како што е применливо.“.</w:t>
      </w:r>
    </w:p>
    <w:p w14:paraId="46F5E5A0" w14:textId="77777777" w:rsidR="0067289B" w:rsidRPr="00D779B0" w:rsidRDefault="0067289B" w:rsidP="0067289B">
      <w:pPr>
        <w:widowControl/>
        <w:autoSpaceDE/>
        <w:autoSpaceDN/>
        <w:adjustRightInd/>
        <w:spacing w:after="160" w:line="259" w:lineRule="auto"/>
        <w:jc w:val="both"/>
        <w:rPr>
          <w:rFonts w:ascii="Times New Roman" w:hAnsi="Times New Roman" w:cs="Times New Roman"/>
          <w:color w:val="000000"/>
          <w:sz w:val="24"/>
          <w:szCs w:val="24"/>
        </w:rPr>
      </w:pPr>
      <w:r w:rsidRPr="00D779B0">
        <w:rPr>
          <w:rFonts w:ascii="Times New Roman" w:hAnsi="Times New Roman" w:cs="Times New Roman"/>
          <w:sz w:val="24"/>
          <w:szCs w:val="24"/>
        </w:rPr>
        <w:br w:type="page"/>
      </w:r>
    </w:p>
    <w:p w14:paraId="54D31FC0" w14:textId="3CD80239" w:rsidR="00330A3B" w:rsidRPr="00D779B0" w:rsidRDefault="006D29A5" w:rsidP="0067289B">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lastRenderedPageBreak/>
        <w:t>АНЕКС II</w:t>
      </w:r>
    </w:p>
    <w:p w14:paraId="4275FC11" w14:textId="5D6F43C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 xml:space="preserve">Измени на Анекс IV (Дел-МЕД) </w:t>
      </w:r>
      <w:r w:rsidR="00D45155">
        <w:rPr>
          <w:rFonts w:ascii="Times New Roman" w:hAnsi="Times New Roman" w:cs="Times New Roman"/>
          <w:b/>
          <w:color w:val="000000"/>
          <w:sz w:val="24"/>
          <w:szCs w:val="24"/>
        </w:rPr>
        <w:t>кон Регулативата</w:t>
      </w:r>
      <w:r w:rsidRPr="00D779B0">
        <w:rPr>
          <w:rFonts w:ascii="Times New Roman" w:hAnsi="Times New Roman" w:cs="Times New Roman"/>
          <w:b/>
          <w:color w:val="000000"/>
          <w:sz w:val="24"/>
          <w:szCs w:val="24"/>
        </w:rPr>
        <w:t xml:space="preserve"> (ЕУ) бр. 1178/2011</w:t>
      </w:r>
    </w:p>
    <w:p w14:paraId="4353E08E"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Анекс IV се изменува како што следува:</w:t>
      </w:r>
    </w:p>
    <w:p w14:paraId="03DA9343" w14:textId="2BE9139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во точка MED.A.010, следнава дефиниција се вметнува по дефиницијата за „безбедна перцепција на бои“:</w:t>
      </w:r>
    </w:p>
    <w:p w14:paraId="7350257D" w14:textId="3E82271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w:t>
      </w:r>
      <w:r w:rsidRPr="00D779B0">
        <w:rPr>
          <w:rFonts w:ascii="Times New Roman" w:hAnsi="Times New Roman" w:cs="Times New Roman"/>
          <w:color w:val="000000"/>
          <w:sz w:val="24"/>
          <w:szCs w:val="24"/>
        </w:rPr>
        <w:tab/>
        <w:t xml:space="preserve">„операции на хеликоптерската медицинска служба за итна помош (HEMS)“ како што е дефинирано во точка 61 од Анекс I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965/2012;“;</w:t>
      </w:r>
    </w:p>
    <w:p w14:paraId="64BB166F" w14:textId="1ADC895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во точка MED.A.040(в), точка (1) се заменува со следново:</w:t>
      </w:r>
    </w:p>
    <w:p w14:paraId="78587B0F" w14:textId="7FEECD2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Уверенијата за здравствена способност од класа 1 и класа 2 повторно се потврдуваат со важноста и се обновуваат од AeMC или AME. Конкретно, уверенијата за здравствена способност од класа за кандидати кои наполниле 60 години и се вклучени во операции на HEMS со само еден пилот повторно се потврдуваат со важноста и се обновуваат од AeMC или, по дискреција на надлежниот орган, од искусен AME назначен од надлежниот орган.“;</w:t>
      </w:r>
    </w:p>
    <w:p w14:paraId="7575ED60" w14:textId="4AC89C8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во точка MED.B.005, се додава следниов трет став:</w:t>
      </w:r>
    </w:p>
    <w:p w14:paraId="482070B0" w14:textId="222200F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„Во нивното испитување АМЕ соодветно ги земаат предвид дегенеративните ефекти од стареењето врз системите на телото.“;</w:t>
      </w:r>
    </w:p>
    <w:p w14:paraId="1F8FF0AC" w14:textId="471338C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точка MED.B.010 се изменува како што следува:</w:t>
      </w:r>
    </w:p>
    <w:p w14:paraId="7010BD10" w14:textId="43D208F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во точка (а), точките (3) и (4) се заменуваат со следново:</w:t>
      </w:r>
    </w:p>
    <w:p w14:paraId="4D32130F" w14:textId="48C83D5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За уверение за здравствена способност од класа 1, се завршува проширена кардиоваскуларна процена при првиот преглед за повторно потврдување на важноста или обновување по наполнување на 65 возраст и потоа на секои 4 години. За кандидати вклучени во операции на HEMS со само еден пилот, се завршува проширена кардиоваскуларна процена при првиот преглед за повторно потврдување на важноста или обновување по наполнување на 60 години и потоа се прави процена на факторите на ризик од кардиоваскуларни болести.</w:t>
      </w:r>
    </w:p>
    <w:p w14:paraId="15121738" w14:textId="3F2955A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 xml:space="preserve">За уверение за здравствена способност од класа 1, потребно е мерење на серумските липиди, </w:t>
      </w:r>
      <w:r w:rsidR="00C31894">
        <w:rPr>
          <w:rFonts w:ascii="Times New Roman" w:hAnsi="Times New Roman" w:cs="Times New Roman"/>
          <w:color w:val="000000"/>
          <w:sz w:val="24"/>
          <w:szCs w:val="24"/>
        </w:rPr>
        <w:t xml:space="preserve">вклучително </w:t>
      </w:r>
      <w:r w:rsidRPr="00D779B0">
        <w:rPr>
          <w:rFonts w:ascii="Times New Roman" w:hAnsi="Times New Roman" w:cs="Times New Roman"/>
          <w:color w:val="000000"/>
          <w:sz w:val="24"/>
          <w:szCs w:val="24"/>
        </w:rPr>
        <w:t>и холестеролот, при првичниот преглед и при првиот преглед по наполнување на 40 години.“;</w:t>
      </w:r>
    </w:p>
    <w:p w14:paraId="721180FA" w14:textId="097F441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во точка (б), се додава следнава точка (5):</w:t>
      </w:r>
    </w:p>
    <w:p w14:paraId="248DFB85" w14:textId="2FC83F9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0002435F">
        <w:rPr>
          <w:rFonts w:ascii="Times New Roman" w:hAnsi="Times New Roman" w:cs="Times New Roman"/>
          <w:color w:val="000000"/>
          <w:sz w:val="24"/>
          <w:szCs w:val="24"/>
        </w:rPr>
        <w:tab/>
      </w:r>
      <w:r w:rsidRPr="00D779B0">
        <w:rPr>
          <w:rFonts w:ascii="Times New Roman" w:hAnsi="Times New Roman" w:cs="Times New Roman"/>
          <w:color w:val="000000"/>
          <w:sz w:val="24"/>
          <w:szCs w:val="24"/>
        </w:rPr>
        <w:t>Процена на факторите на ризик од кардиоваскуларни болести е дел од прегледите за уверенијата здравствена способност од класа 1 и класа 2 при првиот преглед по наполнување на 40 години и потоа во редовни интервали.“;</w:t>
      </w:r>
    </w:p>
    <w:p w14:paraId="75F6EB2A" w14:textId="6059CC9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Pr="00D779B0">
        <w:rPr>
          <w:rFonts w:ascii="Times New Roman" w:hAnsi="Times New Roman" w:cs="Times New Roman"/>
          <w:color w:val="000000"/>
          <w:sz w:val="24"/>
          <w:szCs w:val="24"/>
        </w:rPr>
        <w:tab/>
        <w:t>точка MED.B.015 се изменува како што следува:</w:t>
      </w:r>
    </w:p>
    <w:p w14:paraId="1CA89FE6" w14:textId="45E9B76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точка (б) се заменува со следново:</w:t>
      </w:r>
    </w:p>
    <w:p w14:paraId="0C0AF4ED" w14:textId="1EE64A6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„(б)</w:t>
      </w:r>
      <w:r w:rsidRPr="00D779B0">
        <w:rPr>
          <w:rFonts w:ascii="Times New Roman" w:hAnsi="Times New Roman" w:cs="Times New Roman"/>
          <w:color w:val="000000"/>
          <w:sz w:val="24"/>
          <w:szCs w:val="24"/>
        </w:rPr>
        <w:tab/>
        <w:t>Кандидатите за уверение за здравствена способност од класа 1 поминуваат белодробни функционални тестови при првичниот преглед и кога е клинички индицирано.“;</w:t>
      </w:r>
    </w:p>
    <w:p w14:paraId="1B62EEAF" w14:textId="76ADCEE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се вметнува следнава точка (ба):</w:t>
      </w:r>
    </w:p>
    <w:p w14:paraId="3D6B6719" w14:textId="3B3710B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„(ба)</w:t>
      </w:r>
      <w:r w:rsidRPr="00D779B0">
        <w:rPr>
          <w:rFonts w:ascii="Times New Roman" w:hAnsi="Times New Roman" w:cs="Times New Roman"/>
          <w:color w:val="000000"/>
          <w:sz w:val="24"/>
          <w:szCs w:val="24"/>
        </w:rPr>
        <w:tab/>
        <w:t>За имателите на уверенија за здравствена способност од класа 1 вклучени во операции на HEMS со само еден пилот, се завршуваат белодробни функционални тестови и преглед за опструктивна слип апнеја (OSA) при првиот преглед за повторно потврдување на важноста или обновување по наполнување на 60 години.“;</w:t>
      </w:r>
    </w:p>
    <w:p w14:paraId="5C5EF469" w14:textId="1654283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точка (в) се заменува со следново:</w:t>
      </w:r>
    </w:p>
    <w:p w14:paraId="41D3412D" w14:textId="77525B7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Кандидатите за уверение за здравствена способност од класа 2 поминуваат белодробни морфолошки и функционални тестови при првичниот преглед и кога е клинички или епидемиолошки индицирано.“;</w:t>
      </w:r>
    </w:p>
    <w:p w14:paraId="60783DCD" w14:textId="6838EF0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(6)</w:t>
      </w:r>
      <w:r w:rsidRPr="00D779B0">
        <w:rPr>
          <w:rFonts w:ascii="Times New Roman" w:hAnsi="Times New Roman" w:cs="Times New Roman"/>
          <w:color w:val="000000"/>
          <w:sz w:val="24"/>
          <w:szCs w:val="24"/>
        </w:rPr>
        <w:tab/>
        <w:t>во точка MED.Б.070(a)(1), се додава следнава точка 13:</w:t>
      </w:r>
    </w:p>
    <w:p w14:paraId="7FE7D53C" w14:textId="332414B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кога имателите на сертификати за здравствена способност се вклучени во операции на HEMS со само еден пилот, се завршува проширен очен преглед при првиот преглед за повторно потврдување на важноста или обновување по наполнување на 60 години и потоа секоја година.“;</w:t>
      </w:r>
    </w:p>
    <w:p w14:paraId="7BEC50FC" w14:textId="1AFF213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(7)</w:t>
      </w:r>
      <w:r w:rsidRPr="00D779B0">
        <w:rPr>
          <w:rFonts w:ascii="Times New Roman" w:hAnsi="Times New Roman" w:cs="Times New Roman"/>
          <w:color w:val="000000"/>
          <w:sz w:val="24"/>
          <w:szCs w:val="24"/>
        </w:rPr>
        <w:tab/>
        <w:t>во точка MED.B.075(б), точка (1) се заменува со следново:</w:t>
      </w:r>
    </w:p>
    <w:p w14:paraId="33EBCCDB" w14:textId="4EBACB2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Кандидатите го прават Ишихара тест за првичното издавање на уверение за здравствена способност. За имателите на уверенија за здравствена способност од класа 1 вклучени во операции на HEMS со само еден пилот, се завршува тест за препознавање на бои при првиот преглед за повторно потврдување на важноста или обновување по наполнување на 60 години и потоа секоја година.“; Кандидатите кои го поминат тој тест може да бидат оценети како способни.“;</w:t>
      </w:r>
    </w:p>
    <w:p w14:paraId="781ECA64" w14:textId="17985E8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(8)</w:t>
      </w:r>
      <w:r w:rsidRPr="00D779B0">
        <w:rPr>
          <w:rFonts w:ascii="Times New Roman" w:hAnsi="Times New Roman" w:cs="Times New Roman"/>
          <w:color w:val="000000"/>
          <w:sz w:val="24"/>
          <w:szCs w:val="24"/>
        </w:rPr>
        <w:tab/>
        <w:t>точка MED.B.080(а) се изменува како што следува:</w:t>
      </w:r>
    </w:p>
    <w:p w14:paraId="5047608E" w14:textId="5C145B5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во точка (1), точка (i) се заменува со следново:</w:t>
      </w:r>
    </w:p>
    <w:p w14:paraId="5D4FF5BC" w14:textId="3F7C392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За уверенија за здравствена способност од класа 1 и за уверенија за здравствена способност од класа 2 кога на дозволата треба да се додаде овластување за летање по инструменти или основно овластување за летање по инструменти, слухот се тестира со аудиометрија со чист тон при првичниот преглед, потоа на секои 5 години додека имателот на дозволата не наполни 40 години, а потоа на секои 2 години додека имателот на дозволата не наполни 60 години и потоа секоја година.“;</w:t>
      </w:r>
    </w:p>
    <w:p w14:paraId="5F931871" w14:textId="27FCAB7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се додава следнава точка (3):</w:t>
      </w:r>
    </w:p>
    <w:p w14:paraId="291D9D84" w14:textId="46DCCEB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 xml:space="preserve">За имателите на уверенија за здравствена способност од класа 1 вклучени во операции на HEMS со само еден пилот, се завршуваат белодробни функционални тестови и преглед за опструктивна слип апнеја (OSA) при првиот преглед за повторно потврдување на важноста или обновување по наполнување </w:t>
      </w:r>
      <w:r w:rsidRPr="00D779B0">
        <w:rPr>
          <w:rFonts w:ascii="Times New Roman" w:hAnsi="Times New Roman" w:cs="Times New Roman"/>
          <w:color w:val="000000"/>
          <w:sz w:val="24"/>
          <w:szCs w:val="24"/>
        </w:rPr>
        <w:lastRenderedPageBreak/>
        <w:t>на 60 години.“;</w:t>
      </w:r>
    </w:p>
    <w:p w14:paraId="70308B18" w14:textId="235E5CD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(9) во точка MED.D.020, се вметнува следнава точка (аа):</w:t>
      </w:r>
    </w:p>
    <w:p w14:paraId="11551620" w14:textId="4FD3E1F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„(аа)</w:t>
      </w:r>
      <w:r w:rsidRPr="00D779B0">
        <w:rPr>
          <w:rFonts w:ascii="Times New Roman" w:hAnsi="Times New Roman" w:cs="Times New Roman"/>
          <w:color w:val="000000"/>
          <w:sz w:val="24"/>
          <w:szCs w:val="24"/>
        </w:rPr>
        <w:tab/>
        <w:t>За докажување на исполнување на точките MED.D.010(б) и MED.D.015(в), надлежниот орган може да прифати курс за обука за воздухопловна медицина завршен од кандидат надвор од териториите за кои се одговорни земјите членки според Чикашката конвенција, под услов да се исполнети следниве услови:</w:t>
      </w:r>
    </w:p>
    <w:p w14:paraId="62CA83AA" w14:textId="014BDD2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надлежниот орган ја оценил и потврдил наставната програма за курсот во согласност со точка ARA.MED.200(в)(1) од Анекс VI;</w:t>
      </w:r>
    </w:p>
    <w:p w14:paraId="0E29F83D" w14:textId="303D303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 xml:space="preserve">кандидатот завршил конкретен модул за обука за воздухопловно-медицинските услови опишани во </w:t>
      </w:r>
      <w:r w:rsidR="00C74D50">
        <w:rPr>
          <w:rFonts w:ascii="Times New Roman" w:hAnsi="Times New Roman" w:cs="Times New Roman"/>
          <w:color w:val="000000"/>
          <w:sz w:val="24"/>
          <w:szCs w:val="24"/>
        </w:rPr>
        <w:t>овој анекс</w:t>
      </w:r>
      <w:r w:rsidRPr="00D779B0">
        <w:rPr>
          <w:rFonts w:ascii="Times New Roman" w:hAnsi="Times New Roman" w:cs="Times New Roman"/>
          <w:color w:val="000000"/>
          <w:sz w:val="24"/>
          <w:szCs w:val="24"/>
        </w:rPr>
        <w:t xml:space="preserve"> (Дел-MED) како што е предвидено од надлежниот орган.“.</w:t>
      </w:r>
    </w:p>
    <w:p w14:paraId="150AD701" w14:textId="77777777" w:rsidR="000E016F" w:rsidRPr="00D779B0" w:rsidRDefault="000E016F" w:rsidP="000E016F">
      <w:pPr>
        <w:widowControl/>
        <w:autoSpaceDE/>
        <w:autoSpaceDN/>
        <w:adjustRightInd/>
        <w:spacing w:after="160" w:line="259" w:lineRule="auto"/>
        <w:jc w:val="both"/>
        <w:rPr>
          <w:rFonts w:ascii="Times New Roman" w:hAnsi="Times New Roman" w:cs="Times New Roman"/>
          <w:color w:val="000000"/>
          <w:sz w:val="24"/>
          <w:szCs w:val="24"/>
        </w:rPr>
      </w:pPr>
      <w:r w:rsidRPr="00D779B0">
        <w:rPr>
          <w:rFonts w:ascii="Times New Roman" w:hAnsi="Times New Roman" w:cs="Times New Roman"/>
          <w:sz w:val="24"/>
          <w:szCs w:val="24"/>
        </w:rPr>
        <w:br w:type="page"/>
      </w:r>
    </w:p>
    <w:p w14:paraId="7B24E9B7" w14:textId="566FAB48" w:rsidR="00330A3B" w:rsidRPr="00D779B0" w:rsidRDefault="006D29A5" w:rsidP="000E016F">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lastRenderedPageBreak/>
        <w:t>АНЕКС III</w:t>
      </w:r>
    </w:p>
    <w:p w14:paraId="5226FC1A" w14:textId="191AD86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 xml:space="preserve">Измени на Анекс VI (Дел-ARA) </w:t>
      </w:r>
      <w:r w:rsidR="00D45155">
        <w:rPr>
          <w:rFonts w:ascii="Times New Roman" w:hAnsi="Times New Roman" w:cs="Times New Roman"/>
          <w:b/>
          <w:color w:val="000000"/>
          <w:sz w:val="24"/>
          <w:szCs w:val="24"/>
        </w:rPr>
        <w:t>кон Регулативата</w:t>
      </w:r>
      <w:r w:rsidRPr="00D779B0">
        <w:rPr>
          <w:rFonts w:ascii="Times New Roman" w:hAnsi="Times New Roman" w:cs="Times New Roman"/>
          <w:b/>
          <w:color w:val="000000"/>
          <w:sz w:val="24"/>
          <w:szCs w:val="24"/>
        </w:rPr>
        <w:t xml:space="preserve"> (ЕУ) бр. 1178/2011</w:t>
      </w:r>
    </w:p>
    <w:p w14:paraId="3CA25D91"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Анекс VI се изменува како што следува:</w:t>
      </w:r>
    </w:p>
    <w:p w14:paraId="3BEC61A3" w14:textId="5BFF26A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во точка ARA.GEN.305, точка (г) се заменува со следново:</w:t>
      </w:r>
    </w:p>
    <w:p w14:paraId="766A7B82" w14:textId="49A7271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За лицата кои поседуваат дозвола, уверение, овластување или потврда издадена од надлежниот орган, програмата за надзор вклучува соодветен број на инспекции и ненајавени инспекции.“;</w:t>
      </w:r>
    </w:p>
    <w:p w14:paraId="6E112D80" w14:textId="6338F30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во точката ARA.GEN.360, се додава следнава точка (д):</w:t>
      </w:r>
    </w:p>
    <w:p w14:paraId="240B6A55" w14:textId="4C4EA86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„(д)</w:t>
      </w:r>
      <w:r w:rsidRPr="00D779B0">
        <w:rPr>
          <w:rFonts w:ascii="Times New Roman" w:hAnsi="Times New Roman" w:cs="Times New Roman"/>
          <w:color w:val="000000"/>
          <w:sz w:val="24"/>
          <w:szCs w:val="24"/>
        </w:rPr>
        <w:tab/>
        <w:t>Кога надлежен орган добива барање од имател на уверение за медицинска способност за промена на надлежниот орган, како што е наведено во условите наведени во точка (а), се применува постапката наведена во точките од (а) до (г).“;</w:t>
      </w:r>
    </w:p>
    <w:p w14:paraId="64FB08D5" w14:textId="5F2DCC6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во точка ARA.FCL.200, точка (г) се заменува со следново:</w:t>
      </w:r>
    </w:p>
    <w:p w14:paraId="0D8EB7F0" w14:textId="1E8CA91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Одобрување на дозволи од испитувачи. Пред конкретно овластување на одредени инструктори повторно да ја потврдат важноста на овластувањето за класа на SEP-авиони, овластувањето за класа на TMG или овластувањето за класа на хеликоптер со еден мотор со MTOM до 3 175 kg, надлежниот орган донесува соодветни процедури.“;</w:t>
      </w:r>
    </w:p>
    <w:p w14:paraId="37331C86" w14:textId="71CAFC2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во точка ARA.FCL.300(б), точка (3) се заменува со следново:</w:t>
      </w:r>
    </w:p>
    <w:p w14:paraId="3EDA0C35" w14:textId="2F3F9F8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Испитот за Комуникации може да се спроведе одделно од оние по други предмети.“;</w:t>
      </w:r>
    </w:p>
    <w:p w14:paraId="4E132AB0" w14:textId="5E1A2EF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Pr="00D779B0">
        <w:rPr>
          <w:rFonts w:ascii="Times New Roman" w:hAnsi="Times New Roman" w:cs="Times New Roman"/>
          <w:color w:val="000000"/>
          <w:sz w:val="24"/>
          <w:szCs w:val="24"/>
        </w:rPr>
        <w:tab/>
        <w:t>точка ARA.FSTD.120 се заменува со следново:</w:t>
      </w:r>
    </w:p>
    <w:p w14:paraId="50598F2F" w14:textId="35EC79DA" w:rsidR="00330A3B" w:rsidRPr="00D779B0" w:rsidRDefault="00953EB1" w:rsidP="00E80582">
      <w:pPr>
        <w:shd w:val="clear" w:color="auto" w:fill="FFFFFF"/>
        <w:spacing w:before="120" w:after="120"/>
        <w:jc w:val="both"/>
        <w:rPr>
          <w:rFonts w:ascii="Times New Roman" w:hAnsi="Times New Roman" w:cs="Times New Roman"/>
          <w:sz w:val="24"/>
          <w:szCs w:val="24"/>
        </w:rPr>
      </w:pPr>
      <w:r>
        <w:rPr>
          <w:rFonts w:ascii="Times New Roman" w:hAnsi="Times New Roman" w:cs="Times New Roman"/>
          <w:b/>
          <w:color w:val="000000"/>
          <w:sz w:val="24"/>
          <w:szCs w:val="24"/>
        </w:rPr>
        <w:t>„</w:t>
      </w:r>
      <w:r w:rsidR="006D29A5" w:rsidRPr="00D779B0">
        <w:rPr>
          <w:rFonts w:ascii="Times New Roman" w:hAnsi="Times New Roman" w:cs="Times New Roman"/>
          <w:b/>
          <w:color w:val="000000"/>
          <w:sz w:val="24"/>
          <w:szCs w:val="24"/>
        </w:rPr>
        <w:t>ARA.FSTD.120</w:t>
      </w:r>
      <w:r w:rsidR="006D29A5" w:rsidRPr="00D779B0">
        <w:rPr>
          <w:rFonts w:ascii="Times New Roman" w:hAnsi="Times New Roman" w:cs="Times New Roman"/>
          <w:b/>
          <w:color w:val="000000"/>
          <w:sz w:val="24"/>
          <w:szCs w:val="24"/>
        </w:rPr>
        <w:tab/>
        <w:t>Продолжување на квалификација за FSTD</w:t>
      </w:r>
    </w:p>
    <w:p w14:paraId="16D6D179" w14:textId="1BD1CE0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Надлежниот орган континуирано ја следи организацијата која оперира со FSTD, како дел од програмата за надзор, за да потврди дека се исполнети следниве услови:</w:t>
      </w:r>
    </w:p>
    <w:p w14:paraId="4A2EC8CD" w14:textId="426664B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целосниот збир на тестови во главниот QTG се повторува прогресивно во период од 12 месеци;</w:t>
      </w:r>
    </w:p>
    <w:p w14:paraId="7FDA4300" w14:textId="6CE0D42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резултатите од периодичните оцени продолжуваат да се усогласени со основата за квалификација и се со датум и зачувани;</w:t>
      </w:r>
    </w:p>
    <w:p w14:paraId="734951BB" w14:textId="50CEC0E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воспоставен е систем за контрола на конфигурацијата за да се осигури континуиран интегритет на хардверот и софтверот на квалификуваниот FSTD.</w:t>
      </w:r>
    </w:p>
    <w:p w14:paraId="5ED16127" w14:textId="5E20F3E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Надлежниот орган спроведува периодични оцени на FSTD во согласност со процедурите опишани во точка ARA.FSTD.100. Тие оцени се вршат:</w:t>
      </w:r>
    </w:p>
    <w:p w14:paraId="2188F681" w14:textId="078A240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секоја година, во случај на симулатор за целосен лет (FFS), уред за обука </w:t>
      </w:r>
      <w:r w:rsidRPr="00D779B0">
        <w:rPr>
          <w:rFonts w:ascii="Times New Roman" w:hAnsi="Times New Roman" w:cs="Times New Roman"/>
          <w:color w:val="000000"/>
          <w:sz w:val="24"/>
          <w:szCs w:val="24"/>
        </w:rPr>
        <w:lastRenderedPageBreak/>
        <w:t>за летање (FTD) или тренажер за процедури за лет и навигација (FNPT). Започнувањето на секој периодичен 12-месечен период е крајот на месецот на првичната квалификација, освен ако не е договорен друг датум помеѓу надлежниот орган и организацијата која оперира со FSTD. Секоја периодична оцена на FSTD се врши во период од 60 дена пред и 30 дена по започнувањето на секој периодичен 12-месечен период;</w:t>
      </w:r>
    </w:p>
    <w:p w14:paraId="1E656478" w14:textId="470DC8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на секои 3 години, во случај на BITD.</w:t>
      </w:r>
    </w:p>
    <w:p w14:paraId="32CC0C83" w14:textId="342462A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Надлежниот орган може да го продолжи периодот на периодична оцена на FSTD наведен во точка ARA.FSTD.120(б)(1) до максимум 36 месеци, под услов да се применува сѐ од следново:</w:t>
      </w:r>
    </w:p>
    <w:p w14:paraId="5908CAEA" w14:textId="60FF1BA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во текот на претходните 36 месеци, организацијата која оперира со FSTD ги исполнува критериумите наведени во точките ARA.GEN.305(в) од (1) до (в)(4);</w:t>
      </w:r>
    </w:p>
    <w:p w14:paraId="415D5E3B" w14:textId="6D83D1E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00953EB1">
        <w:rPr>
          <w:rFonts w:ascii="Times New Roman" w:hAnsi="Times New Roman" w:cs="Times New Roman"/>
          <w:color w:val="000000"/>
          <w:sz w:val="24"/>
          <w:szCs w:val="24"/>
        </w:rPr>
        <w:tab/>
      </w:r>
      <w:r w:rsidRPr="00D779B0">
        <w:rPr>
          <w:rFonts w:ascii="Times New Roman" w:hAnsi="Times New Roman" w:cs="Times New Roman"/>
          <w:color w:val="000000"/>
          <w:sz w:val="24"/>
          <w:szCs w:val="24"/>
        </w:rPr>
        <w:t xml:space="preserve">за FSTD била спроведена првична и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една периодична оцена со која се утврдува неговата континуирана усогласеност со основата за квалификација;</w:t>
      </w:r>
    </w:p>
    <w:p w14:paraId="35F4D480" w14:textId="6A6D0B3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надлежниот орган врши ревизија на елементите на системот за управување на организацијата, како што е наведено во точките ORA.GEN.200(а)(3) и (а)(6) од Анекс VII, на секои 12 месеци;</w:t>
      </w:r>
    </w:p>
    <w:p w14:paraId="0C890EE4" w14:textId="35B0DA0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организацијата донесува процедури за извршување на задачите наведени во точка ORA.FSTD.225(б) од Анекс VII.“;</w:t>
      </w:r>
    </w:p>
    <w:p w14:paraId="010CF2E2" w14:textId="436D404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(6)</w:t>
      </w:r>
      <w:r w:rsidRPr="00D779B0">
        <w:rPr>
          <w:rFonts w:ascii="Times New Roman" w:hAnsi="Times New Roman" w:cs="Times New Roman"/>
          <w:color w:val="000000"/>
          <w:sz w:val="24"/>
          <w:szCs w:val="24"/>
        </w:rPr>
        <w:tab/>
        <w:t>точка ARA.MED.120 се заменува со следново:</w:t>
      </w:r>
    </w:p>
    <w:p w14:paraId="68CE8876" w14:textId="378BD0A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„ARA.MED.120</w:t>
      </w:r>
      <w:r w:rsidRPr="00D779B0">
        <w:rPr>
          <w:rFonts w:ascii="Times New Roman" w:hAnsi="Times New Roman" w:cs="Times New Roman"/>
          <w:b/>
          <w:color w:val="000000"/>
          <w:sz w:val="24"/>
          <w:szCs w:val="24"/>
        </w:rPr>
        <w:tab/>
        <w:t>Проценувач на здравствената способност</w:t>
      </w:r>
    </w:p>
    <w:p w14:paraId="56561832" w14:textId="751800A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Надлежниот орган назначува еден или повеќе проценувачи на здравствената способност за извршување на воздухопловно-медицинските задачи опишани во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 Проценувачот на здравствената способност е со дозвола и квалификуван да ја врши медицинската професија и го има следново:</w:t>
      </w:r>
    </w:p>
    <w:p w14:paraId="3FEB08BC" w14:textId="3867F82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постдипломско работно искуство во клиничката медицина;</w:t>
      </w:r>
    </w:p>
    <w:p w14:paraId="36BAF495" w14:textId="34DDE50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конкретно знаење и искуство во воздухопловната медицина и воздухопловно-медицинската </w:t>
      </w:r>
      <w:r w:rsidR="00D33DE6">
        <w:rPr>
          <w:rFonts w:ascii="Times New Roman" w:hAnsi="Times New Roman" w:cs="Times New Roman"/>
          <w:color w:val="000000"/>
          <w:sz w:val="24"/>
          <w:szCs w:val="24"/>
        </w:rPr>
        <w:t>практика</w:t>
      </w:r>
      <w:r w:rsidRPr="00D779B0">
        <w:rPr>
          <w:rFonts w:ascii="Times New Roman" w:hAnsi="Times New Roman" w:cs="Times New Roman"/>
          <w:color w:val="000000"/>
          <w:sz w:val="24"/>
          <w:szCs w:val="24"/>
        </w:rPr>
        <w:t>;</w:t>
      </w:r>
    </w:p>
    <w:p w14:paraId="3D45BB44" w14:textId="7E1C741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конкретна обука во издавање на воздухопловно-медицински уверенија.“;</w:t>
      </w:r>
    </w:p>
    <w:p w14:paraId="372DEFF4" w14:textId="68E7B21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(7)</w:t>
      </w:r>
      <w:r w:rsidRPr="00D779B0">
        <w:rPr>
          <w:rFonts w:ascii="Times New Roman" w:hAnsi="Times New Roman" w:cs="Times New Roman"/>
          <w:color w:val="000000"/>
          <w:sz w:val="24"/>
          <w:szCs w:val="24"/>
        </w:rPr>
        <w:tab/>
        <w:t>точка ARA.MED.125 се заменува со следново:</w:t>
      </w:r>
    </w:p>
    <w:p w14:paraId="785B2BB8" w14:textId="07330D5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„ARA.MED.12</w:t>
      </w:r>
      <w:r w:rsidRPr="00D779B0">
        <w:rPr>
          <w:rFonts w:ascii="Times New Roman" w:hAnsi="Times New Roman" w:cs="Times New Roman"/>
          <w:b/>
          <w:color w:val="000000"/>
          <w:sz w:val="24"/>
          <w:szCs w:val="24"/>
        </w:rPr>
        <w:tab/>
        <w:t>Упатување до надлежниот орган за издавање на дозволи</w:t>
      </w:r>
    </w:p>
    <w:p w14:paraId="5CA92801"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Кога AeMC или воздухопловно-медицински испитувач (AME) ја упатува одлуката за способноста на кандидатот до проценувачот на здравствената способност на надлежниот орган за издавање на дозволи, се преземаат следниве чекори:</w:t>
      </w:r>
    </w:p>
    <w:p w14:paraId="6070996F" w14:textId="14BF57C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(а)</w:t>
      </w:r>
      <w:r w:rsidRPr="00D779B0">
        <w:rPr>
          <w:rFonts w:ascii="Times New Roman" w:hAnsi="Times New Roman" w:cs="Times New Roman"/>
          <w:color w:val="000000"/>
          <w:sz w:val="24"/>
          <w:szCs w:val="24"/>
        </w:rPr>
        <w:tab/>
        <w:t>проценувачот на здравствената способност или медицинскиот персонал назначен од проценувачот на здравствената способност ја оценува релевантната медицинска документација и бара дополнителна медицинска документација, прегледи и тестови каде што е потребно;</w:t>
      </w:r>
    </w:p>
    <w:p w14:paraId="5ABB26D1" w14:textId="5E0DFAF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проценувачот на здравствената способност ја утврдува способноста на кандидатот за издавањето на уверение за здравствена способност со едно или повеќе ограничувања доколку е потребно;</w:t>
      </w:r>
    </w:p>
    <w:p w14:paraId="58CD048E" w14:textId="11E1798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проценувачот на здравствената способност го информира AeMC или AME за одлуката;</w:t>
      </w:r>
    </w:p>
    <w:p w14:paraId="4C349340" w14:textId="7AF9CA6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во случај барателот да се оцени како способен, проценувачот на здравствената способност го издава, доколку е соодветно, уверението за здравствена способност или го делегира издавањето на AeMC или AME што го упатиле соодветниот кандидат.“;</w:t>
      </w:r>
    </w:p>
    <w:p w14:paraId="1801EC06" w14:textId="7BD8BAA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(8)</w:t>
      </w:r>
      <w:r w:rsidRPr="00D779B0">
        <w:rPr>
          <w:rFonts w:ascii="Times New Roman" w:hAnsi="Times New Roman" w:cs="Times New Roman"/>
          <w:color w:val="000000"/>
          <w:sz w:val="24"/>
          <w:szCs w:val="24"/>
        </w:rPr>
        <w:tab/>
        <w:t>се вметнуваат следниве точки ARA.MED.126 и ARA.MED.128:</w:t>
      </w:r>
    </w:p>
    <w:p w14:paraId="1CC859A1" w14:textId="02EFCAA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„ARA.MED.126</w:t>
      </w:r>
      <w:r w:rsidRPr="00D779B0">
        <w:rPr>
          <w:rFonts w:ascii="Times New Roman" w:hAnsi="Times New Roman" w:cs="Times New Roman"/>
          <w:b/>
          <w:color w:val="000000"/>
          <w:sz w:val="24"/>
          <w:szCs w:val="24"/>
        </w:rPr>
        <w:tab/>
        <w:t>Ограничување, суспензија или одземање на уверенија за здравствена способност</w:t>
      </w:r>
    </w:p>
    <w:p w14:paraId="4D2338D9" w14:textId="7F501D1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Надлежниот орган за издавање на дозволи воспоставува процедура за ограничување, суспендирање или одземање на уверение за здравствена способност.</w:t>
      </w:r>
    </w:p>
    <w:p w14:paraId="5B48C1FC" w14:textId="09470CE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Надлежниот орган за издавање на дозволи ограничува, суспендира или одзема уверение за здравствена способност доколку има докази дека:</w:t>
      </w:r>
    </w:p>
    <w:p w14:paraId="1146C2A2" w14:textId="2EB812B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уверението за здравствена способност е фалсификувано или добиено со лажна изјава или лажни докази;</w:t>
      </w:r>
    </w:p>
    <w:p w14:paraId="62A56B69" w14:textId="179DFBF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уверението за здравствена способност се користи спротивно на одредбите од точка MED.А.020 од Анекс IV;</w:t>
      </w:r>
    </w:p>
    <w:p w14:paraId="7F167B93" w14:textId="61D51F8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имателот на уверението за здравствена способност повеќе не е го исполнува Анекс IV (Дел-MED);</w:t>
      </w:r>
    </w:p>
    <w:p w14:paraId="1C8FADD7" w14:textId="458C5AE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Надлежниот орган за издавање на дозволи може, исто така, да суспендира или одзема уверение за здравствена способност по писмено барање на имателот на уверението за здравствена способност.</w:t>
      </w:r>
    </w:p>
    <w:p w14:paraId="4F0CD943" w14:textId="780A219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Во случај на ограничување, суспендирање или одземање на уверение за здравствена способност, надлежниот орган за издавање на дозволи го информира AME или AeMC кој го издава уверението за причината за ограничување, суспензија или одземање.</w:t>
      </w:r>
    </w:p>
    <w:p w14:paraId="3AF7B61C" w14:textId="2153054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(д)</w:t>
      </w:r>
      <w:r w:rsidRPr="00D779B0">
        <w:rPr>
          <w:rFonts w:ascii="Times New Roman" w:hAnsi="Times New Roman" w:cs="Times New Roman"/>
          <w:color w:val="000000"/>
          <w:sz w:val="24"/>
          <w:szCs w:val="24"/>
        </w:rPr>
        <w:tab/>
        <w:t>Во случај на суспензија или одземање на уверение за здравствена способност, надлежниот орган за издавање на дозволи осигурува исполнување на одредбите од точка MED.A.046 од Анекс IV (Дел-MED).</w:t>
      </w:r>
    </w:p>
    <w:p w14:paraId="4C1210AF" w14:textId="024E5A4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(ѓ)</w:t>
      </w:r>
      <w:r w:rsidRPr="00D779B0">
        <w:rPr>
          <w:rFonts w:ascii="Times New Roman" w:hAnsi="Times New Roman" w:cs="Times New Roman"/>
          <w:color w:val="000000"/>
          <w:sz w:val="24"/>
          <w:szCs w:val="24"/>
        </w:rPr>
        <w:tab/>
        <w:t xml:space="preserve">Надлежниот орган за издавање на дозволи воспоставува процедура за </w:t>
      </w:r>
      <w:r w:rsidRPr="00D779B0">
        <w:rPr>
          <w:rFonts w:ascii="Times New Roman" w:hAnsi="Times New Roman" w:cs="Times New Roman"/>
          <w:color w:val="000000"/>
          <w:sz w:val="24"/>
          <w:szCs w:val="24"/>
        </w:rPr>
        <w:lastRenderedPageBreak/>
        <w:t>враќање на уверенијата за здравствена способност.</w:t>
      </w:r>
    </w:p>
    <w:p w14:paraId="6C16F279" w14:textId="0C79BCA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ARA.MED.128</w:t>
      </w:r>
      <w:r w:rsidRPr="00D779B0">
        <w:rPr>
          <w:rFonts w:ascii="Times New Roman" w:hAnsi="Times New Roman" w:cs="Times New Roman"/>
          <w:b/>
          <w:color w:val="000000"/>
          <w:sz w:val="24"/>
          <w:szCs w:val="24"/>
        </w:rPr>
        <w:tab/>
        <w:t>Процедура за консултации</w:t>
      </w:r>
    </w:p>
    <w:p w14:paraId="4760F12F"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Надлежниот орган воспоставува процедура за консултации за AeMC и AMЕ во согласност со Анекс IV (Дел-MED).“;</w:t>
      </w:r>
    </w:p>
    <w:p w14:paraId="6D118132" w14:textId="217BD24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(9)</w:t>
      </w:r>
      <w:r w:rsidRPr="00D779B0">
        <w:rPr>
          <w:rFonts w:ascii="Times New Roman" w:hAnsi="Times New Roman" w:cs="Times New Roman"/>
          <w:color w:val="000000"/>
          <w:sz w:val="24"/>
          <w:szCs w:val="24"/>
        </w:rPr>
        <w:tab/>
        <w:t>точка ARA.MED.130 се изменува како што следува:</w:t>
      </w:r>
    </w:p>
    <w:p w14:paraId="5396554C" w14:textId="3485312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точка (а) се изменува како што следува:</w:t>
      </w:r>
    </w:p>
    <w:p w14:paraId="49532172" w14:textId="06CB66A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се брише точка (2);</w:t>
      </w:r>
    </w:p>
    <w:p w14:paraId="1536EE47" w14:textId="0B97735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точка 3 се заменува со следново:</w:t>
      </w:r>
    </w:p>
    <w:p w14:paraId="775FE7CA" w14:textId="3FA7253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00953EB1">
        <w:rPr>
          <w:rFonts w:ascii="Times New Roman" w:hAnsi="Times New Roman" w:cs="Times New Roman"/>
          <w:color w:val="000000"/>
          <w:sz w:val="24"/>
          <w:szCs w:val="24"/>
        </w:rPr>
        <w:tab/>
      </w:r>
      <w:r w:rsidRPr="00D779B0">
        <w:rPr>
          <w:rFonts w:ascii="Times New Roman" w:hAnsi="Times New Roman" w:cs="Times New Roman"/>
          <w:color w:val="000000"/>
          <w:sz w:val="24"/>
          <w:szCs w:val="24"/>
        </w:rPr>
        <w:t>Број на уверението за здравствена способност кој започнува со кодот на земјата на ОН на земјата каде што е издадена или е поднесено барање за дозволата за пилот и е проследен со код од броеви и/или букви со арапски бројки и латинично писмо (III)“;</w:t>
      </w:r>
    </w:p>
    <w:p w14:paraId="354C33F5" w14:textId="25B6CE1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точка 6 се заменува со следново:</w:t>
      </w:r>
    </w:p>
    <w:p w14:paraId="47721658" w14:textId="603C275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„(6)</w:t>
      </w:r>
      <w:r w:rsidRPr="00D779B0">
        <w:rPr>
          <w:rFonts w:ascii="Times New Roman" w:hAnsi="Times New Roman" w:cs="Times New Roman"/>
          <w:color w:val="000000"/>
          <w:sz w:val="24"/>
          <w:szCs w:val="24"/>
        </w:rPr>
        <w:tab/>
        <w:t>Датум на раѓање на имателот: (дд/мм/гггг) (IVa)“;</w:t>
      </w:r>
    </w:p>
    <w:p w14:paraId="7ED00DB9" w14:textId="1D9B443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точка 9 се заменува со следново:</w:t>
      </w:r>
    </w:p>
    <w:p w14:paraId="6E90D936" w14:textId="77777777" w:rsidR="000E016F" w:rsidRPr="00D779B0" w:rsidRDefault="006D29A5" w:rsidP="00E80582">
      <w:pPr>
        <w:shd w:val="clear" w:color="auto" w:fill="FFFFFF"/>
        <w:spacing w:before="120" w:after="120"/>
        <w:jc w:val="both"/>
        <w:rPr>
          <w:rFonts w:ascii="Times New Roman" w:eastAsia="Times New Roman" w:hAnsi="Times New Roman" w:cs="Times New Roman"/>
          <w:color w:val="000000"/>
          <w:sz w:val="24"/>
          <w:szCs w:val="24"/>
        </w:rPr>
      </w:pPr>
      <w:r w:rsidRPr="00D779B0">
        <w:rPr>
          <w:rFonts w:ascii="Times New Roman" w:hAnsi="Times New Roman" w:cs="Times New Roman"/>
          <w:color w:val="000000"/>
          <w:sz w:val="24"/>
          <w:szCs w:val="24"/>
        </w:rPr>
        <w:t>„(9)</w:t>
      </w:r>
      <w:r w:rsidRPr="00D779B0">
        <w:rPr>
          <w:rFonts w:ascii="Times New Roman" w:hAnsi="Times New Roman" w:cs="Times New Roman"/>
          <w:color w:val="000000"/>
          <w:sz w:val="24"/>
          <w:szCs w:val="24"/>
        </w:rPr>
        <w:tab/>
        <w:t>Датум на истекување на уверението за здравствена способност (IX) за:</w:t>
      </w:r>
    </w:p>
    <w:p w14:paraId="0EAB77A8" w14:textId="3EEB93C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w:t>
      </w:r>
      <w:r w:rsidRPr="00D779B0">
        <w:rPr>
          <w:rFonts w:ascii="Times New Roman" w:hAnsi="Times New Roman" w:cs="Times New Roman"/>
          <w:color w:val="000000"/>
          <w:sz w:val="24"/>
          <w:szCs w:val="24"/>
        </w:rPr>
        <w:tab/>
        <w:t>Класа 1,</w:t>
      </w:r>
    </w:p>
    <w:p w14:paraId="4A61B7C1" w14:textId="77777777" w:rsidR="000E016F"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комерцијални операции со само еден пилот за превоз на патници,</w:t>
      </w:r>
    </w:p>
    <w:p w14:paraId="631A2ED6" w14:textId="6632EAA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Класа 2, (iv)</w:t>
      </w:r>
      <w:r w:rsidRPr="00D779B0">
        <w:rPr>
          <w:rFonts w:ascii="Times New Roman" w:hAnsi="Times New Roman" w:cs="Times New Roman"/>
          <w:color w:val="000000"/>
          <w:sz w:val="24"/>
          <w:szCs w:val="24"/>
        </w:rPr>
        <w:tab/>
        <w:t>LAPL“;</w:t>
      </w:r>
    </w:p>
    <w:p w14:paraId="7E83BA87" w14:textId="01A04E6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Pr="00D779B0">
        <w:rPr>
          <w:rFonts w:ascii="Times New Roman" w:hAnsi="Times New Roman" w:cs="Times New Roman"/>
          <w:color w:val="000000"/>
          <w:sz w:val="24"/>
          <w:szCs w:val="24"/>
        </w:rPr>
        <w:tab/>
        <w:t>точка 11 се заменува со следново:</w:t>
      </w:r>
    </w:p>
    <w:p w14:paraId="1E97D7BD" w14:textId="547624F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„(11)</w:t>
      </w:r>
      <w:r w:rsidRPr="00D779B0">
        <w:rPr>
          <w:rFonts w:ascii="Times New Roman" w:hAnsi="Times New Roman" w:cs="Times New Roman"/>
          <w:color w:val="000000"/>
          <w:sz w:val="24"/>
          <w:szCs w:val="24"/>
        </w:rPr>
        <w:tab/>
        <w:t>Датум на последниот и следниот електрокардиограм“;</w:t>
      </w:r>
    </w:p>
    <w:p w14:paraId="3D8FDE66" w14:textId="77777777" w:rsidR="000E016F"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(6)</w:t>
      </w:r>
      <w:r w:rsidRPr="00D779B0">
        <w:rPr>
          <w:rFonts w:ascii="Times New Roman" w:hAnsi="Times New Roman" w:cs="Times New Roman"/>
          <w:color w:val="000000"/>
          <w:sz w:val="24"/>
          <w:szCs w:val="24"/>
        </w:rPr>
        <w:tab/>
        <w:t>точка 12 се заменува со следново:</w:t>
      </w:r>
    </w:p>
    <w:p w14:paraId="423C2987" w14:textId="369CEF2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„(12)</w:t>
      </w:r>
      <w:r w:rsidRPr="00D779B0">
        <w:rPr>
          <w:rFonts w:ascii="Times New Roman" w:hAnsi="Times New Roman" w:cs="Times New Roman"/>
          <w:color w:val="000000"/>
          <w:sz w:val="24"/>
          <w:szCs w:val="24"/>
        </w:rPr>
        <w:tab/>
        <w:t>Датум на последниот и следниот аудиограм“;</w:t>
      </w:r>
    </w:p>
    <w:p w14:paraId="1911FEE8" w14:textId="5935AA1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(7)</w:t>
      </w:r>
      <w:r w:rsidRPr="00D779B0">
        <w:rPr>
          <w:rFonts w:ascii="Times New Roman" w:hAnsi="Times New Roman" w:cs="Times New Roman"/>
          <w:color w:val="000000"/>
          <w:sz w:val="24"/>
          <w:szCs w:val="24"/>
        </w:rPr>
        <w:tab/>
        <w:t>се вметнува следнава точка (12a):</w:t>
      </w:r>
    </w:p>
    <w:p w14:paraId="626CBC1B" w14:textId="6055E78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„(12)</w:t>
      </w:r>
      <w:r w:rsidRPr="00D779B0">
        <w:rPr>
          <w:rFonts w:ascii="Times New Roman" w:hAnsi="Times New Roman" w:cs="Times New Roman"/>
          <w:color w:val="000000"/>
          <w:sz w:val="24"/>
          <w:szCs w:val="24"/>
        </w:rPr>
        <w:tab/>
        <w:t>Датум на последниот и следниот офтамолошки преглед“;</w:t>
      </w:r>
    </w:p>
    <w:p w14:paraId="412C268A" w14:textId="77777777" w:rsidR="000E016F"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(8)</w:t>
      </w:r>
      <w:r w:rsidRPr="00D779B0">
        <w:rPr>
          <w:rFonts w:ascii="Times New Roman" w:hAnsi="Times New Roman" w:cs="Times New Roman"/>
          <w:color w:val="000000"/>
          <w:sz w:val="24"/>
          <w:szCs w:val="24"/>
        </w:rPr>
        <w:tab/>
        <w:t>се додава точка 15 со следнава содржина:</w:t>
      </w:r>
    </w:p>
    <w:p w14:paraId="00794FFF" w14:textId="4D57ED0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(15)</w:t>
      </w:r>
      <w:r w:rsidRPr="00D779B0">
        <w:rPr>
          <w:rFonts w:ascii="Times New Roman" w:hAnsi="Times New Roman" w:cs="Times New Roman"/>
          <w:color w:val="000000"/>
          <w:sz w:val="24"/>
          <w:szCs w:val="24"/>
        </w:rPr>
        <w:tab/>
        <w:t>Други информации“;</w:t>
      </w:r>
    </w:p>
    <w:p w14:paraId="48FEAA99" w14:textId="047D5A7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точките (б) и (в) се заменуваат со следново:</w:t>
      </w:r>
    </w:p>
    <w:p w14:paraId="6CE39BED" w14:textId="0A4B7E4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Хартијата или другиот материјал што се користат спречуваат или лесно </w:t>
      </w:r>
      <w:r w:rsidRPr="00D779B0">
        <w:rPr>
          <w:rFonts w:ascii="Times New Roman" w:hAnsi="Times New Roman" w:cs="Times New Roman"/>
          <w:color w:val="000000"/>
          <w:sz w:val="24"/>
          <w:szCs w:val="24"/>
        </w:rPr>
        <w:lastRenderedPageBreak/>
        <w:t xml:space="preserve">покажуваат </w:t>
      </w:r>
      <w:r w:rsidR="00D33DE6" w:rsidRPr="00D779B0">
        <w:rPr>
          <w:rFonts w:ascii="Times New Roman" w:hAnsi="Times New Roman" w:cs="Times New Roman"/>
          <w:color w:val="000000"/>
          <w:sz w:val="24"/>
          <w:szCs w:val="24"/>
        </w:rPr>
        <w:t xml:space="preserve">какви било </w:t>
      </w:r>
      <w:r w:rsidRPr="00D779B0">
        <w:rPr>
          <w:rFonts w:ascii="Times New Roman" w:hAnsi="Times New Roman" w:cs="Times New Roman"/>
          <w:color w:val="000000"/>
          <w:sz w:val="24"/>
          <w:szCs w:val="24"/>
        </w:rPr>
        <w:t>измени или бришења. Сите внесови или бришења во образецот се јасно одобрени од надлежниот орган за издавање на дозволи.</w:t>
      </w:r>
    </w:p>
    <w:p w14:paraId="72E1D16D" w14:textId="1B2EF03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Јазик: Уверенијата за здравствена способност се напишани на националниот(те) јазик(ци) и на англиски и на други јазици кои надлежниот орган ги смета за соодветни.“;</w:t>
      </w:r>
    </w:p>
    <w:p w14:paraId="5C2C2607" w14:textId="43EE118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(10)</w:t>
      </w:r>
      <w:r w:rsidRPr="00D779B0">
        <w:rPr>
          <w:rFonts w:ascii="Times New Roman" w:hAnsi="Times New Roman" w:cs="Times New Roman"/>
          <w:color w:val="000000"/>
          <w:sz w:val="24"/>
          <w:szCs w:val="24"/>
        </w:rPr>
        <w:tab/>
        <w:t>точките ARA.MED.135, ARA.MED.145 и ARA.MED.150 се заменуваат со следново:</w:t>
      </w:r>
    </w:p>
    <w:p w14:paraId="24BBB5E2" w14:textId="34C993E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„ARA.MED.135</w:t>
      </w:r>
      <w:r w:rsidRPr="00D779B0">
        <w:rPr>
          <w:rFonts w:ascii="Times New Roman" w:hAnsi="Times New Roman" w:cs="Times New Roman"/>
          <w:b/>
          <w:color w:val="000000"/>
          <w:sz w:val="24"/>
          <w:szCs w:val="24"/>
        </w:rPr>
        <w:tab/>
        <w:t>Воздухопловно-медицински обрасци</w:t>
      </w:r>
    </w:p>
    <w:p w14:paraId="503D62B0"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Надлежниот орган им го доставува на АМЕ форматот за следниве документи:</w:t>
      </w:r>
    </w:p>
    <w:p w14:paraId="5DFFCDA2" w14:textId="7F4B11E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образецот за барање за уверени за здравствена способност;</w:t>
      </w:r>
    </w:p>
    <w:p w14:paraId="39809592" w14:textId="3E124E9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образецот за извештајот од медицинскиот преглед за кандидатите од класа 1 и класа 2;</w:t>
      </w:r>
    </w:p>
    <w:p w14:paraId="14F6D417" w14:textId="35936CD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образецот за извештајот од медицинскиот преглед за кандидатите за дозвола за пилот на лесен воздухоплов (LAPL);</w:t>
      </w:r>
    </w:p>
    <w:p w14:paraId="5C3325DC" w14:textId="0D37643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ARA.MED.145</w:t>
      </w:r>
      <w:r w:rsidR="0002435F">
        <w:rPr>
          <w:rFonts w:ascii="Times New Roman" w:hAnsi="Times New Roman" w:cs="Times New Roman"/>
          <w:b/>
          <w:color w:val="000000"/>
          <w:sz w:val="24"/>
          <w:szCs w:val="24"/>
        </w:rPr>
        <w:tab/>
      </w:r>
      <w:r w:rsidRPr="00D779B0">
        <w:rPr>
          <w:rFonts w:ascii="Times New Roman" w:hAnsi="Times New Roman" w:cs="Times New Roman"/>
          <w:b/>
          <w:color w:val="000000"/>
          <w:sz w:val="24"/>
          <w:szCs w:val="24"/>
        </w:rPr>
        <w:t>Известување на надлежниот орган од лекари од општа медицина</w:t>
      </w:r>
    </w:p>
    <w:p w14:paraId="314048E8" w14:textId="210BB12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Надлежниот орган, кога е применливо, воспоставува процес на известување за лекарите од општа медицина (GMP) за да се осигури дека GMP е запознаен со применливите услови утврдени во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w:t>
      </w:r>
    </w:p>
    <w:p w14:paraId="0A39B9E9" w14:textId="54ABB0F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ARA.MED.150</w:t>
      </w:r>
      <w:r w:rsidRPr="00D779B0">
        <w:rPr>
          <w:rFonts w:ascii="Times New Roman" w:hAnsi="Times New Roman" w:cs="Times New Roman"/>
          <w:b/>
          <w:color w:val="000000"/>
          <w:sz w:val="24"/>
          <w:szCs w:val="24"/>
        </w:rPr>
        <w:tab/>
        <w:t>Водење на евиденција</w:t>
      </w:r>
    </w:p>
    <w:p w14:paraId="639DDA03" w14:textId="15CD2A7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Дополнително на евиденцијата што се бара во точката ARA.GEN.220, надлежниот орган во својот систем на водење на евиденција вклучува детали за воздухопловно-медицинските прегледи и процени доставени од AME, AeMC или GMP.</w:t>
      </w:r>
    </w:p>
    <w:p w14:paraId="39C19209" w14:textId="5898CB1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00953EB1">
        <w:rPr>
          <w:rFonts w:ascii="Times New Roman" w:hAnsi="Times New Roman" w:cs="Times New Roman"/>
          <w:color w:val="000000"/>
          <w:sz w:val="24"/>
          <w:szCs w:val="24"/>
        </w:rPr>
        <w:tab/>
      </w:r>
      <w:r w:rsidRPr="00D779B0">
        <w:rPr>
          <w:rFonts w:ascii="Times New Roman" w:hAnsi="Times New Roman" w:cs="Times New Roman"/>
          <w:color w:val="000000"/>
          <w:sz w:val="24"/>
          <w:szCs w:val="24"/>
        </w:rPr>
        <w:t>Целата воздухопловно-медицинска евиденција на кандидатите/имателите на дозвола се чува минимум 10 години по датумот на истекување на нивното последно уверение за здравствена способност.</w:t>
      </w:r>
    </w:p>
    <w:p w14:paraId="520C4127" w14:textId="03FB2DE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За целите на воздухопловно-медицинските процени и стандардизацијата, воздухопловно-медицинската евиденција е достапна по писмена согласност од барателот/имателот на дозволата на следниве субјекти:</w:t>
      </w:r>
    </w:p>
    <w:p w14:paraId="3B2C65DC" w14:textId="113257A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AeMC, AME или GMP за целите на завршување на воздухопловно-медицинска процена;</w:t>
      </w:r>
    </w:p>
    <w:p w14:paraId="314C89F5" w14:textId="25D0B65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одбор за медицински преглед кој може да го формира надлежниот орган за секундарен преглед на граничните случаи;</w:t>
      </w:r>
    </w:p>
    <w:p w14:paraId="60553818" w14:textId="70D2997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релевантни медицински специјалисти за целите на завршување на воздухопловно-медицинска процена;</w:t>
      </w:r>
    </w:p>
    <w:p w14:paraId="4055E47C" w14:textId="5DB4A2B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(4)</w:t>
      </w:r>
      <w:r w:rsidRPr="00D779B0">
        <w:rPr>
          <w:rFonts w:ascii="Times New Roman" w:hAnsi="Times New Roman" w:cs="Times New Roman"/>
          <w:color w:val="000000"/>
          <w:sz w:val="24"/>
          <w:szCs w:val="24"/>
        </w:rPr>
        <w:tab/>
        <w:t>проценувачот на здравствената способност на надлежниот орган на друга земја членка за целите на кооперативен надзор;</w:t>
      </w:r>
    </w:p>
    <w:p w14:paraId="3A2B34E0" w14:textId="46FD85B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Pr="00D779B0">
        <w:rPr>
          <w:rFonts w:ascii="Times New Roman" w:hAnsi="Times New Roman" w:cs="Times New Roman"/>
          <w:color w:val="000000"/>
          <w:sz w:val="24"/>
          <w:szCs w:val="24"/>
        </w:rPr>
        <w:tab/>
        <w:t>засегнатиот кандидат/имател на дозвола по нивно писмено барање;</w:t>
      </w:r>
    </w:p>
    <w:p w14:paraId="26984853" w14:textId="1AC9838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(6)</w:t>
      </w:r>
      <w:r w:rsidRPr="00D779B0">
        <w:rPr>
          <w:rFonts w:ascii="Times New Roman" w:hAnsi="Times New Roman" w:cs="Times New Roman"/>
          <w:color w:val="000000"/>
          <w:sz w:val="24"/>
          <w:szCs w:val="24"/>
        </w:rPr>
        <w:tab/>
        <w:t>Агенцијата за целите на стандардизација, на начин кој осигурува постојано почитување на медицинската доверливост.</w:t>
      </w:r>
    </w:p>
    <w:p w14:paraId="3B1B4E8D" w14:textId="4E2CFD9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 xml:space="preserve">Надлежниот орган може да ја стави на располагање воздухопловно-медицинската евиденција за други цели различни од оние </w:t>
      </w:r>
      <w:r w:rsidR="00D33DE6">
        <w:rPr>
          <w:rFonts w:ascii="Times New Roman" w:hAnsi="Times New Roman" w:cs="Times New Roman"/>
          <w:color w:val="000000"/>
          <w:sz w:val="24"/>
          <w:szCs w:val="24"/>
        </w:rPr>
        <w:t>споменати</w:t>
      </w:r>
      <w:r w:rsidR="00D33DE6"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во точка (в) во согласност со Регулативата (ЕУ) 2016/679.</w:t>
      </w:r>
    </w:p>
    <w:p w14:paraId="21A14C1E" w14:textId="243A3D0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(д)</w:t>
      </w:r>
      <w:r w:rsidRPr="00D779B0">
        <w:rPr>
          <w:rFonts w:ascii="Times New Roman" w:hAnsi="Times New Roman" w:cs="Times New Roman"/>
          <w:color w:val="000000"/>
          <w:sz w:val="24"/>
          <w:szCs w:val="24"/>
        </w:rPr>
        <w:tab/>
        <w:t>Надлежниот орган води список на:</w:t>
      </w:r>
    </w:p>
    <w:p w14:paraId="43F1ED05" w14:textId="1DBA08D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AeMC и AME кои ги има овластено;</w:t>
      </w:r>
    </w:p>
    <w:p w14:paraId="331EB5A7" w14:textId="4B129B0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AME овластени од други надлежни органи кои ги остваруваат своите права на нејзината територија и на кои им дал инструкции во согласност со точка MED.D.001(ѓ)(3) од Анекс IV (Дел-MED);</w:t>
      </w:r>
    </w:p>
    <w:p w14:paraId="3C2BA388" w14:textId="7C7F68DE" w:rsidR="00330A3B" w:rsidRPr="00D779B0" w:rsidRDefault="00953EB1" w:rsidP="00E80582">
      <w:pPr>
        <w:shd w:val="clear" w:color="auto" w:fill="FFFFFF"/>
        <w:spacing w:before="120" w:after="120"/>
        <w:jc w:val="both"/>
        <w:rPr>
          <w:rFonts w:ascii="Times New Roman" w:hAnsi="Times New Roman" w:cs="Times New Roman"/>
          <w:sz w:val="24"/>
          <w:szCs w:val="24"/>
        </w:rPr>
      </w:pPr>
      <w:r>
        <w:rPr>
          <w:rFonts w:ascii="Times New Roman" w:hAnsi="Times New Roman" w:cs="Times New Roman"/>
          <w:color w:val="000000"/>
          <w:sz w:val="24"/>
          <w:szCs w:val="24"/>
        </w:rPr>
        <w:t>(</w:t>
      </w:r>
      <w:r w:rsidR="006D29A5" w:rsidRPr="00D779B0">
        <w:rPr>
          <w:rFonts w:ascii="Times New Roman" w:hAnsi="Times New Roman" w:cs="Times New Roman"/>
          <w:color w:val="000000"/>
          <w:sz w:val="24"/>
          <w:szCs w:val="24"/>
        </w:rPr>
        <w:t>3)</w:t>
      </w:r>
      <w:r w:rsidR="006D29A5" w:rsidRPr="00D779B0">
        <w:rPr>
          <w:rFonts w:ascii="Times New Roman" w:hAnsi="Times New Roman" w:cs="Times New Roman"/>
          <w:color w:val="000000"/>
          <w:sz w:val="24"/>
          <w:szCs w:val="24"/>
        </w:rPr>
        <w:tab/>
        <w:t>GMP кои ги остваруваат нивните права во согласност со точка MED.A.040 од Анекс IV (Дел-MED), каде што е применливо;</w:t>
      </w:r>
    </w:p>
    <w:p w14:paraId="712D6667" w14:textId="10F3823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OHMP кои го известиле надлежниот орган за нивната намера да вршат воздухопловно-медицински процени на кабинскиот екипаж во согласност со точките MED.C.005(в) и MED.D.040 од Анекс IV (Дел-MED), каде што е применливо.</w:t>
      </w:r>
    </w:p>
    <w:p w14:paraId="75BE80FD"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Списокот ги наведува правата на лицата и организациите наведени во точките од (1) до (4) од првиот став и се објавува и ажурира од надлежниот орган.</w:t>
      </w:r>
    </w:p>
    <w:p w14:paraId="2867689E" w14:textId="48D5361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(ѓ)</w:t>
      </w:r>
      <w:r w:rsidRPr="00D779B0">
        <w:rPr>
          <w:rFonts w:ascii="Times New Roman" w:hAnsi="Times New Roman" w:cs="Times New Roman"/>
          <w:color w:val="000000"/>
          <w:sz w:val="24"/>
          <w:szCs w:val="24"/>
        </w:rPr>
        <w:tab/>
        <w:t>Надлежниот орган ги анализира здравствените податоци на пилотите на возраст над 60 години, особено на оние кои се вклучени во операции на HEMS со само еден пилот, и ги доставува таквите здравствени податоци на анонимизиран и збирен начин до EASA на годишно ниво.“;</w:t>
      </w:r>
    </w:p>
    <w:p w14:paraId="22252EDF" w14:textId="3988402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(11)</w:t>
      </w:r>
      <w:r w:rsidRPr="00D779B0">
        <w:rPr>
          <w:rFonts w:ascii="Times New Roman" w:hAnsi="Times New Roman" w:cs="Times New Roman"/>
          <w:color w:val="000000"/>
          <w:sz w:val="24"/>
          <w:szCs w:val="24"/>
        </w:rPr>
        <w:tab/>
        <w:t>точка ARA.MED.200 се заменува со следново:</w:t>
      </w:r>
    </w:p>
    <w:p w14:paraId="0783E0B4" w14:textId="1FB6464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„ARA.MED.200</w:t>
      </w:r>
      <w:r w:rsidRPr="00D779B0">
        <w:rPr>
          <w:rFonts w:ascii="Times New Roman" w:hAnsi="Times New Roman" w:cs="Times New Roman"/>
          <w:b/>
          <w:color w:val="000000"/>
          <w:sz w:val="24"/>
          <w:szCs w:val="24"/>
        </w:rPr>
        <w:tab/>
        <w:t>Постапка за издавање, повторно потврдување на важноста, обновување или промена на уверение за AME</w:t>
      </w:r>
    </w:p>
    <w:p w14:paraId="69501C00"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Без да е во спротивност со одредбите утврдени во точка ARA.GEN.315, се применува сѐ од следново:</w:t>
      </w:r>
    </w:p>
    <w:p w14:paraId="414F1832" w14:textId="204EB5F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надлежниот орган осигурува дека пред издавањето, повторното потврдување на важноста, обновувањето или продолжувањето на правата на уверение за AME, кандидатите ја докажале нивната воздухопловно-медицинска стручна оспособеност во согласност со точките MED.D.030 (а)(6) и (б)(5) од Анекс IV;</w:t>
      </w:r>
    </w:p>
    <w:p w14:paraId="12601B18" w14:textId="0713ECC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надлежниот орган има воспоставено постапка за да осигури дека, пред да го издаде уверението за AME, има докази дека канцеларијата на AME е опремена </w:t>
      </w:r>
      <w:r w:rsidRPr="00D779B0">
        <w:rPr>
          <w:rFonts w:ascii="Times New Roman" w:hAnsi="Times New Roman" w:cs="Times New Roman"/>
          <w:color w:val="000000"/>
          <w:sz w:val="24"/>
          <w:szCs w:val="24"/>
        </w:rPr>
        <w:lastRenderedPageBreak/>
        <w:t>и дека се воспоставени соодветни процеси за да се извршат воздухопловно-медицински прегледи во рамките на опсегот на уверението за AME за кое се поднесува барање. Во случај на повеќе локации на канцеларијата на AME, сите од нив се наведуваат на уверението за AME;</w:t>
      </w:r>
    </w:p>
    <w:p w14:paraId="0BFC34E6" w14:textId="3684FF0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за кандидатите наведени во точка MED.D.020(aa) од Анекс IV, надлежниот орган може да прифати курс за обука за воздухопловна медицина завршен од кандидат надвор од териториите за кои се одговорни земјите членки според Чикашката конвенција, под услов надлежниот орган да направил сѐ од следново:</w:t>
      </w:r>
    </w:p>
    <w:p w14:paraId="6586127A" w14:textId="4C4C6CE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оценил и потврди дека наставната програма за курсот е еквивалентна на курсевите за обука за воздухопловна медицина достапни во земјите членки;</w:t>
      </w:r>
    </w:p>
    <w:p w14:paraId="637FB1A1" w14:textId="60EE0AF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му обезбедил на кандидатот конкретен модул за обука за воздухопловно-медицинските услови детално опишани во Анекс IV (Дел-MED);</w:t>
      </w:r>
    </w:p>
    <w:p w14:paraId="34CE4920" w14:textId="4FCE8DD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(г)</w:t>
      </w:r>
      <w:r w:rsidRPr="00D779B0">
        <w:rPr>
          <w:rFonts w:ascii="Times New Roman" w:hAnsi="Times New Roman" w:cs="Times New Roman"/>
          <w:color w:val="000000"/>
          <w:sz w:val="24"/>
          <w:szCs w:val="24"/>
        </w:rPr>
        <w:tab/>
        <w:t>кога ќе се увери дека AME ги исполнил применливите услови, надлежниот орган го издава, повторно ја потврдува важноста, обновува или променува уверението за AME за период не подолг од 3 години, користејќи го образецот утврден во Додаток VII.“;</w:t>
      </w:r>
    </w:p>
    <w:p w14:paraId="68D83015" w14:textId="5DF513C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(12)</w:t>
      </w:r>
      <w:r w:rsidRPr="00D779B0">
        <w:rPr>
          <w:rFonts w:ascii="Times New Roman" w:hAnsi="Times New Roman" w:cs="Times New Roman"/>
          <w:color w:val="000000"/>
          <w:sz w:val="24"/>
          <w:szCs w:val="24"/>
        </w:rPr>
        <w:tab/>
        <w:t>насловот на точката ARA.MED.240 се заменува со следново:</w:t>
      </w:r>
    </w:p>
    <w:p w14:paraId="48B97F34" w14:textId="7A0D59D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bCs/>
          <w:color w:val="000000"/>
          <w:sz w:val="24"/>
          <w:szCs w:val="24"/>
        </w:rPr>
        <w:t>„ARA.MED.240</w:t>
      </w:r>
      <w:r w:rsidRPr="00D779B0">
        <w:rPr>
          <w:rFonts w:ascii="Times New Roman" w:hAnsi="Times New Roman" w:cs="Times New Roman"/>
          <w:b/>
          <w:bCs/>
          <w:color w:val="000000"/>
          <w:sz w:val="24"/>
          <w:szCs w:val="24"/>
        </w:rPr>
        <w:tab/>
        <w:t>Лекари од општа медицина (GMP) кои ги остваруваат правата во согласност со точка MED.A.040 од Анекс IV (Дел-MED)“;</w:t>
      </w:r>
    </w:p>
    <w:p w14:paraId="0F51C51C" w14:textId="2597CF3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(13)</w:t>
      </w:r>
      <w:r w:rsidRPr="00D779B0">
        <w:rPr>
          <w:rFonts w:ascii="Times New Roman" w:hAnsi="Times New Roman" w:cs="Times New Roman"/>
          <w:color w:val="000000"/>
          <w:sz w:val="24"/>
          <w:szCs w:val="24"/>
        </w:rPr>
        <w:tab/>
        <w:t>точка ARA.MED.245 се заменува со следново:</w:t>
      </w:r>
    </w:p>
    <w:p w14:paraId="4F038722" w14:textId="00A7127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„ARA.MED.245</w:t>
      </w:r>
      <w:r w:rsidRPr="00D779B0">
        <w:rPr>
          <w:rFonts w:ascii="Times New Roman" w:hAnsi="Times New Roman" w:cs="Times New Roman"/>
          <w:b/>
          <w:color w:val="000000"/>
          <w:sz w:val="24"/>
          <w:szCs w:val="24"/>
        </w:rPr>
        <w:tab/>
        <w:t>Континуиран надзор над AME и GMP</w:t>
      </w:r>
    </w:p>
    <w:p w14:paraId="5563F386" w14:textId="2F0A2F0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При донесувањето на програмата за континуиран надзор наведена во точка ARA.GEN.305, надлежниот орган ги зема предвид:</w:t>
      </w:r>
    </w:p>
    <w:p w14:paraId="76824327" w14:textId="494AE55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бројот на AME и GMP кои ги остваруваат нивните права на територијата каде што надлежниот орган врши надзор;</w:t>
      </w:r>
    </w:p>
    <w:p w14:paraId="7E572973" w14:textId="20E20EC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бројот на AME овластени од надлежните органи на другите земји членки кои ги остваруваат нивните права на територијата каде што надлежниот орган врши надзор;</w:t>
      </w:r>
    </w:p>
    <w:p w14:paraId="70DE0B66" w14:textId="34BBD65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00953EB1">
        <w:rPr>
          <w:rFonts w:ascii="Times New Roman" w:hAnsi="Times New Roman" w:cs="Times New Roman"/>
          <w:color w:val="000000"/>
          <w:sz w:val="24"/>
          <w:szCs w:val="24"/>
        </w:rPr>
        <w:tab/>
      </w:r>
      <w:r w:rsidRPr="00D779B0">
        <w:rPr>
          <w:rFonts w:ascii="Times New Roman" w:hAnsi="Times New Roman" w:cs="Times New Roman"/>
          <w:color w:val="000000"/>
          <w:sz w:val="24"/>
          <w:szCs w:val="24"/>
        </w:rPr>
        <w:t>процена заснована на ризик на дејноста на AME и GMP.“;</w:t>
      </w:r>
    </w:p>
    <w:p w14:paraId="1168342E" w14:textId="15B0CC4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(14)</w:t>
      </w:r>
      <w:r w:rsidRPr="00D779B0">
        <w:rPr>
          <w:rFonts w:ascii="Times New Roman" w:hAnsi="Times New Roman" w:cs="Times New Roman"/>
          <w:color w:val="000000"/>
          <w:sz w:val="24"/>
          <w:szCs w:val="24"/>
        </w:rPr>
        <w:tab/>
        <w:t>се вметнува следнава точка ARA.MED.246:</w:t>
      </w:r>
    </w:p>
    <w:p w14:paraId="65A68061" w14:textId="1FD05D9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„ARA.MED.246</w:t>
      </w:r>
      <w:r w:rsidRPr="00D779B0">
        <w:rPr>
          <w:rFonts w:ascii="Times New Roman" w:hAnsi="Times New Roman" w:cs="Times New Roman"/>
          <w:b/>
          <w:color w:val="000000"/>
          <w:sz w:val="24"/>
          <w:szCs w:val="24"/>
        </w:rPr>
        <w:tab/>
        <w:t>Кооперативен надзор над AME и GMP</w:t>
      </w:r>
    </w:p>
    <w:p w14:paraId="3F9807DE"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Без да е во спротивност со одредбите утврдени во точка ARA.GEN.300(д):</w:t>
      </w:r>
    </w:p>
    <w:p w14:paraId="4672A870" w14:textId="30C7779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 xml:space="preserve">кога AME или AeMC ја врши неговата дејност во повеќе од една земја членка, надлежниот орган кој го овластил AME или AeMC воспоставува процедура за да ја осигури размената на информации во согласност со точка </w:t>
      </w:r>
      <w:r w:rsidRPr="00D779B0">
        <w:rPr>
          <w:rFonts w:ascii="Times New Roman" w:hAnsi="Times New Roman" w:cs="Times New Roman"/>
          <w:color w:val="000000"/>
          <w:sz w:val="24"/>
          <w:szCs w:val="24"/>
        </w:rPr>
        <w:lastRenderedPageBreak/>
        <w:t>ARA.GEN.200(в) и точките ARA.GEN.300(г) и (д) со надлежниот орган на другата(ите) земја(и) членка(и) или каде што AMC или AeM ја врши неговата дејност. За процедурата се договараат вклучените надлежни органи;</w:t>
      </w:r>
    </w:p>
    <w:p w14:paraId="37B4B3E5" w14:textId="11FF846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во случајот </w:t>
      </w:r>
      <w:r w:rsidR="00D33DE6">
        <w:rPr>
          <w:rFonts w:ascii="Times New Roman" w:hAnsi="Times New Roman" w:cs="Times New Roman"/>
          <w:color w:val="000000"/>
          <w:sz w:val="24"/>
          <w:szCs w:val="24"/>
        </w:rPr>
        <w:t>споменат</w:t>
      </w:r>
      <w:r w:rsidR="00D33DE6"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во точка (а), надлежниот орган на другата(ите) земја(и) членка(и) каде што AME или AeMC ја спроведува неговата дејност ги споделува сите информации релевантни за надзорот над AME или AeMC со надлежниот орган кој го овластува AME или AeMC.“;</w:t>
      </w:r>
    </w:p>
    <w:p w14:paraId="2A661E8D" w14:textId="695B850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(15)</w:t>
      </w:r>
      <w:r w:rsidRPr="00D779B0">
        <w:rPr>
          <w:rFonts w:ascii="Times New Roman" w:hAnsi="Times New Roman" w:cs="Times New Roman"/>
          <w:color w:val="000000"/>
          <w:sz w:val="24"/>
          <w:szCs w:val="24"/>
        </w:rPr>
        <w:tab/>
        <w:t>точка ARA.MED.250 се изменува како што следува:</w:t>
      </w:r>
    </w:p>
    <w:p w14:paraId="2AAED034" w14:textId="79CA75D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точка (а) се изменува како што следува:</w:t>
      </w:r>
    </w:p>
    <w:p w14:paraId="0F763196" w14:textId="0E3F21B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воведната фраза се заменува со следново:</w:t>
      </w:r>
    </w:p>
    <w:p w14:paraId="4459010A"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„Надлежниот орган ограничува, суспендира или одзема уверение за AME во следниве околности:“;</w:t>
      </w:r>
    </w:p>
    <w:p w14:paraId="2589A34B" w14:textId="736790F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w:t>
      </w:r>
      <w:r w:rsidRPr="00D779B0">
        <w:rPr>
          <w:rFonts w:ascii="Times New Roman" w:hAnsi="Times New Roman" w:cs="Times New Roman"/>
          <w:color w:val="000000"/>
          <w:sz w:val="24"/>
          <w:szCs w:val="24"/>
        </w:rPr>
        <w:tab/>
        <w:t>точка (1) се заменува со следново:</w:t>
      </w:r>
    </w:p>
    <w:p w14:paraId="2C4A32BD" w14:textId="3A92A5E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AME не ги исполнува применливите услови;“;</w:t>
      </w:r>
    </w:p>
    <w:p w14:paraId="358942DE" w14:textId="70D15FE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се брише зборот „и“ на крајот од точка (6)</w:t>
      </w:r>
    </w:p>
    <w:p w14:paraId="6DD7200E" w14:textId="1A51DAC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(iv)</w:t>
      </w:r>
      <w:r w:rsidRPr="00D779B0">
        <w:rPr>
          <w:rFonts w:ascii="Times New Roman" w:hAnsi="Times New Roman" w:cs="Times New Roman"/>
          <w:color w:val="000000"/>
          <w:sz w:val="24"/>
          <w:szCs w:val="24"/>
        </w:rPr>
        <w:tab/>
        <w:t>се вметнува следнава точка (8):</w:t>
      </w:r>
    </w:p>
    <w:p w14:paraId="70F59804" w14:textId="3B6F342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„(8)</w:t>
      </w:r>
      <w:r w:rsidRPr="00D779B0">
        <w:rPr>
          <w:rFonts w:ascii="Times New Roman" w:hAnsi="Times New Roman" w:cs="Times New Roman"/>
          <w:color w:val="000000"/>
          <w:sz w:val="24"/>
          <w:szCs w:val="24"/>
        </w:rPr>
        <w:tab/>
        <w:t>секој оперативен контекст на AME што може да има директно или индиректно негативно влијание врз безбедноста на летот“;</w:t>
      </w:r>
    </w:p>
    <w:p w14:paraId="18D5D70E" w14:textId="3D5E418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00953EB1">
        <w:rPr>
          <w:rFonts w:ascii="Times New Roman" w:hAnsi="Times New Roman" w:cs="Times New Roman"/>
          <w:color w:val="000000"/>
          <w:sz w:val="24"/>
          <w:szCs w:val="24"/>
        </w:rPr>
        <w:tab/>
      </w:r>
      <w:r w:rsidRPr="00D779B0">
        <w:rPr>
          <w:rFonts w:ascii="Times New Roman" w:hAnsi="Times New Roman" w:cs="Times New Roman"/>
          <w:color w:val="000000"/>
          <w:sz w:val="24"/>
          <w:szCs w:val="24"/>
        </w:rPr>
        <w:t>во точка (б), воведната фраза се заменува со следново:</w:t>
      </w:r>
    </w:p>
    <w:p w14:paraId="5EA7E277" w14:textId="1286907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„Уверението за AME се смета за неважечко во </w:t>
      </w:r>
      <w:r w:rsidR="00D33DE6" w:rsidRPr="00D779B0">
        <w:rPr>
          <w:rFonts w:ascii="Times New Roman" w:hAnsi="Times New Roman" w:cs="Times New Roman"/>
          <w:color w:val="000000"/>
          <w:sz w:val="24"/>
          <w:szCs w:val="24"/>
        </w:rPr>
        <w:t xml:space="preserve">која било </w:t>
      </w:r>
      <w:r w:rsidRPr="00D779B0">
        <w:rPr>
          <w:rFonts w:ascii="Times New Roman" w:hAnsi="Times New Roman" w:cs="Times New Roman"/>
          <w:color w:val="000000"/>
          <w:sz w:val="24"/>
          <w:szCs w:val="24"/>
        </w:rPr>
        <w:t>од следниве околности и надлежниот орган веднаш ја одзема:“;</w:t>
      </w:r>
    </w:p>
    <w:p w14:paraId="69A7D9C7" w14:textId="2B7BD8F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се додава следнава точка:</w:t>
      </w:r>
    </w:p>
    <w:p w14:paraId="675A8C5F" w14:textId="45932C6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Надлежниот орган воспоставува процес за повлекување на одземените уверенија за AME, го ажурира списокот на AME и соодветно ги информира надлежните органи на другите земји членки.“;</w:t>
      </w:r>
    </w:p>
    <w:p w14:paraId="17C7F3A1" w14:textId="4A45131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(16)</w:t>
      </w:r>
      <w:r w:rsidRPr="00D779B0">
        <w:rPr>
          <w:rFonts w:ascii="Times New Roman" w:hAnsi="Times New Roman" w:cs="Times New Roman"/>
          <w:color w:val="000000"/>
          <w:sz w:val="24"/>
          <w:szCs w:val="24"/>
        </w:rPr>
        <w:tab/>
        <w:t>точка ARA.MED.255 се заменува со следново:</w:t>
      </w:r>
    </w:p>
    <w:p w14:paraId="6CDA162B" w14:textId="7300E07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„ARA.MED.255</w:t>
      </w:r>
      <w:r w:rsidRPr="00D779B0">
        <w:rPr>
          <w:rFonts w:ascii="Times New Roman" w:hAnsi="Times New Roman" w:cs="Times New Roman"/>
          <w:b/>
          <w:color w:val="000000"/>
          <w:sz w:val="24"/>
          <w:szCs w:val="24"/>
        </w:rPr>
        <w:tab/>
        <w:t>Мерки за извршување</w:t>
      </w:r>
    </w:p>
    <w:p w14:paraId="05914FAF" w14:textId="4F6148E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Ако, за време на надзорот или на </w:t>
      </w:r>
      <w:r w:rsidR="00D33DE6" w:rsidRPr="00D779B0">
        <w:rPr>
          <w:rFonts w:ascii="Times New Roman" w:hAnsi="Times New Roman" w:cs="Times New Roman"/>
          <w:color w:val="000000"/>
          <w:sz w:val="24"/>
          <w:szCs w:val="24"/>
        </w:rPr>
        <w:t xml:space="preserve">кој било </w:t>
      </w:r>
      <w:r w:rsidRPr="00D779B0">
        <w:rPr>
          <w:rFonts w:ascii="Times New Roman" w:hAnsi="Times New Roman" w:cs="Times New Roman"/>
          <w:color w:val="000000"/>
          <w:sz w:val="24"/>
          <w:szCs w:val="24"/>
        </w:rPr>
        <w:t>друг начин, се пронајде доказ кој покажува неисполнување на AeMC, AME или GMP, надлежниот орган располага со процес за преглед на уверенијата за здравствена способност издадени од тој AeMC, AME или GMP и може да ги направи неважечки, каде што е потребно, за да се осигури безбедноста на летот.</w:t>
      </w:r>
    </w:p>
    <w:p w14:paraId="32AA9AF5"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За уверенија за здравствена способност издадени на кандидатите кои имаат надлежен орган за издавање на дозволи различен од надлежниот орган кој го </w:t>
      </w:r>
      <w:r w:rsidRPr="00D779B0">
        <w:rPr>
          <w:rFonts w:ascii="Times New Roman" w:hAnsi="Times New Roman" w:cs="Times New Roman"/>
          <w:color w:val="000000"/>
          <w:sz w:val="24"/>
          <w:szCs w:val="24"/>
        </w:rPr>
        <w:lastRenderedPageBreak/>
        <w:t>издал уверението за AME, тој надлежен орган го информира и разменува релевантни информации со проценувачот на здравствената способност на надлежниот орган за издавање на дозволи на засегнатиот имател на уверение за здравствена способност.“;</w:t>
      </w:r>
    </w:p>
    <w:p w14:paraId="56076D30" w14:textId="3043DB3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(17)</w:t>
      </w:r>
      <w:r w:rsidRPr="00D779B0">
        <w:rPr>
          <w:rFonts w:ascii="Times New Roman" w:hAnsi="Times New Roman" w:cs="Times New Roman"/>
          <w:color w:val="000000"/>
          <w:sz w:val="24"/>
          <w:szCs w:val="24"/>
        </w:rPr>
        <w:tab/>
        <w:t>точките ARA.MED.315 и ARA.MED.325 се заменуваат со следново:</w:t>
      </w:r>
    </w:p>
    <w:p w14:paraId="75F4AF83" w14:textId="4253E48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bCs/>
          <w:color w:val="000000"/>
          <w:sz w:val="24"/>
          <w:szCs w:val="24"/>
        </w:rPr>
        <w:t>„ARA.MED.315</w:t>
      </w:r>
      <w:r w:rsidRPr="00D779B0">
        <w:rPr>
          <w:rFonts w:ascii="Times New Roman" w:hAnsi="Times New Roman" w:cs="Times New Roman"/>
          <w:b/>
          <w:bCs/>
          <w:color w:val="000000"/>
          <w:sz w:val="24"/>
          <w:szCs w:val="24"/>
        </w:rPr>
        <w:tab/>
        <w:t>Преглед на извештаи од медицински прегледи</w:t>
      </w:r>
    </w:p>
    <w:p w14:paraId="46FE3611"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Надлежниот орган за издавање на дозволи воспоставува процес за проценувачот на здравствената способност да ги преземе следниве чекори:</w:t>
      </w:r>
    </w:p>
    <w:p w14:paraId="216CFF39" w14:textId="623587D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 xml:space="preserve">врши преглед на извештаите од медицински прегледи и процени добиени од AeMC, AME и GMP и ги информира за </w:t>
      </w:r>
      <w:r w:rsidR="00D33DE6" w:rsidRPr="00D779B0">
        <w:rPr>
          <w:rFonts w:ascii="Times New Roman" w:hAnsi="Times New Roman" w:cs="Times New Roman"/>
          <w:color w:val="000000"/>
          <w:sz w:val="24"/>
          <w:szCs w:val="24"/>
        </w:rPr>
        <w:t xml:space="preserve">кои било </w:t>
      </w:r>
      <w:r w:rsidRPr="00D779B0">
        <w:rPr>
          <w:rFonts w:ascii="Times New Roman" w:hAnsi="Times New Roman" w:cs="Times New Roman"/>
          <w:color w:val="000000"/>
          <w:sz w:val="24"/>
          <w:szCs w:val="24"/>
        </w:rPr>
        <w:t>недоследности, пропусти или грешки направени во процесот на процена;</w:t>
      </w:r>
    </w:p>
    <w:p w14:paraId="6D87E766" w14:textId="3AA88A4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(аа)</w:t>
      </w:r>
      <w:r w:rsidRPr="00D779B0">
        <w:rPr>
          <w:rFonts w:ascii="Times New Roman" w:hAnsi="Times New Roman" w:cs="Times New Roman"/>
          <w:color w:val="000000"/>
          <w:sz w:val="24"/>
          <w:szCs w:val="24"/>
        </w:rPr>
        <w:tab/>
        <w:t xml:space="preserve">презема соодветни корективни дејствија за </w:t>
      </w:r>
      <w:r w:rsidR="00D33DE6" w:rsidRPr="00D779B0">
        <w:rPr>
          <w:rFonts w:ascii="Times New Roman" w:hAnsi="Times New Roman" w:cs="Times New Roman"/>
          <w:color w:val="000000"/>
          <w:sz w:val="24"/>
          <w:szCs w:val="24"/>
        </w:rPr>
        <w:t xml:space="preserve">кои било </w:t>
      </w:r>
      <w:r w:rsidRPr="00D779B0">
        <w:rPr>
          <w:rFonts w:ascii="Times New Roman" w:hAnsi="Times New Roman" w:cs="Times New Roman"/>
          <w:color w:val="000000"/>
          <w:sz w:val="24"/>
          <w:szCs w:val="24"/>
        </w:rPr>
        <w:t>утврдени недоследности, пропусти или грешки;</w:t>
      </w:r>
    </w:p>
    <w:p w14:paraId="11C52F04" w14:textId="1758636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им помага на AME и AeMC на нивно барање во врска со нивната одлука за воздухопловно-медицинската способност во гранични и сложени случаи.</w:t>
      </w:r>
    </w:p>
    <w:p w14:paraId="54A962C6" w14:textId="05E5C10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ARA.MED.325</w:t>
      </w:r>
      <w:r w:rsidRPr="00D779B0">
        <w:rPr>
          <w:rFonts w:ascii="Times New Roman" w:hAnsi="Times New Roman" w:cs="Times New Roman"/>
          <w:b/>
          <w:color w:val="000000"/>
          <w:sz w:val="24"/>
          <w:szCs w:val="24"/>
        </w:rPr>
        <w:tab/>
        <w:t>Процедура за секундарен преглед</w:t>
      </w:r>
    </w:p>
    <w:p w14:paraId="013F3A39"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Надлежниот орган воспоставува процедура за преглед на гранични и сложени случаи и случаи кога кандидатот бара преглед во согласност со применливите медицински услови и акредитираниот медицински заклучок како што е дефинирано во точка MED.A.010 од Анекс IV (Дел-MED).“;</w:t>
      </w:r>
    </w:p>
    <w:p w14:paraId="71A94C95" w14:textId="7C9DE47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(18)</w:t>
      </w:r>
      <w:r w:rsidRPr="00D779B0">
        <w:rPr>
          <w:rFonts w:ascii="Times New Roman" w:hAnsi="Times New Roman" w:cs="Times New Roman"/>
          <w:color w:val="000000"/>
          <w:sz w:val="24"/>
          <w:szCs w:val="24"/>
        </w:rPr>
        <w:tab/>
        <w:t>се брише точка ARA.MED.330;</w:t>
      </w:r>
    </w:p>
    <w:p w14:paraId="06EBF2F5" w14:textId="1492EFE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(19)</w:t>
      </w:r>
      <w:r w:rsidRPr="00D779B0">
        <w:rPr>
          <w:rFonts w:ascii="Times New Roman" w:hAnsi="Times New Roman" w:cs="Times New Roman"/>
          <w:color w:val="000000"/>
          <w:sz w:val="24"/>
          <w:szCs w:val="24"/>
        </w:rPr>
        <w:tab/>
        <w:t>во точка (а)(2) од Додаток I, точка (XIII) се заменува со следново:</w:t>
      </w:r>
    </w:p>
    <w:p w14:paraId="24D46591" w14:textId="114174D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„(XIII)</w:t>
      </w:r>
      <w:r w:rsidRPr="00D779B0">
        <w:rPr>
          <w:rFonts w:ascii="Times New Roman" w:hAnsi="Times New Roman" w:cs="Times New Roman"/>
          <w:color w:val="000000"/>
          <w:sz w:val="24"/>
          <w:szCs w:val="24"/>
        </w:rPr>
        <w:tab/>
        <w:t xml:space="preserve">забелешки: т.е. посебни одобренија во врска со ограничувања и одобренија за права, </w:t>
      </w:r>
      <w:r w:rsidR="00C31894">
        <w:rPr>
          <w:rFonts w:ascii="Times New Roman" w:hAnsi="Times New Roman" w:cs="Times New Roman"/>
          <w:color w:val="000000"/>
          <w:sz w:val="24"/>
          <w:szCs w:val="24"/>
        </w:rPr>
        <w:t xml:space="preserve">вклучително </w:t>
      </w:r>
      <w:r w:rsidRPr="00D779B0">
        <w:rPr>
          <w:rFonts w:ascii="Times New Roman" w:hAnsi="Times New Roman" w:cs="Times New Roman"/>
          <w:color w:val="000000"/>
          <w:sz w:val="24"/>
          <w:szCs w:val="24"/>
        </w:rPr>
        <w:t>и одобренија за владеење на јазикот и забелешки за автоматско потврдување на дозволата; и“;</w:t>
      </w:r>
    </w:p>
    <w:p w14:paraId="034926E0" w14:textId="1073FEE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(20)</w:t>
      </w:r>
      <w:r w:rsidRPr="00D779B0">
        <w:rPr>
          <w:rFonts w:ascii="Times New Roman" w:hAnsi="Times New Roman" w:cs="Times New Roman"/>
          <w:color w:val="000000"/>
          <w:sz w:val="24"/>
          <w:szCs w:val="24"/>
        </w:rPr>
        <w:tab/>
        <w:t>Додаток III се изменува како што следува:</w:t>
      </w:r>
    </w:p>
    <w:p w14:paraId="2864FF85" w14:textId="2ABBE92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 xml:space="preserve">на </w:t>
      </w:r>
      <w:r w:rsidR="00D33DE6">
        <w:rPr>
          <w:rFonts w:ascii="Times New Roman" w:hAnsi="Times New Roman" w:cs="Times New Roman"/>
          <w:color w:val="000000"/>
          <w:sz w:val="24"/>
          <w:szCs w:val="24"/>
        </w:rPr>
        <w:t>страница</w:t>
      </w:r>
      <w:r w:rsidRPr="00D779B0">
        <w:rPr>
          <w:rFonts w:ascii="Times New Roman" w:hAnsi="Times New Roman" w:cs="Times New Roman"/>
          <w:color w:val="000000"/>
          <w:sz w:val="24"/>
          <w:szCs w:val="24"/>
        </w:rPr>
        <w:t xml:space="preserve"> 1 од образецот на уверението, фуснотата и подножјето се заменуваат со следново:</w:t>
      </w:r>
    </w:p>
    <w:p w14:paraId="45AB683C" w14:textId="49F48D9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w:t>
      </w:r>
      <w:r w:rsidRPr="00D779B0">
        <w:rPr>
          <w:rFonts w:ascii="Times New Roman" w:hAnsi="Times New Roman" w:cs="Times New Roman"/>
          <w:color w:val="000000"/>
          <w:sz w:val="24"/>
          <w:szCs w:val="24"/>
        </w:rPr>
        <w:tab/>
      </w:r>
      <w:r w:rsidR="00953EB1">
        <w:rPr>
          <w:rFonts w:ascii="Times New Roman" w:hAnsi="Times New Roman" w:cs="Times New Roman"/>
          <w:color w:val="000000"/>
          <w:sz w:val="24"/>
          <w:szCs w:val="24"/>
        </w:rPr>
        <w:t>С</w:t>
      </w:r>
      <w:r w:rsidR="00953EB1" w:rsidRPr="00D779B0">
        <w:rPr>
          <w:rFonts w:ascii="Times New Roman" w:hAnsi="Times New Roman" w:cs="Times New Roman"/>
          <w:color w:val="000000"/>
          <w:sz w:val="24"/>
          <w:szCs w:val="24"/>
        </w:rPr>
        <w:t xml:space="preserve">е брише </w:t>
      </w:r>
      <w:r w:rsidRPr="00D779B0">
        <w:rPr>
          <w:rFonts w:ascii="Times New Roman" w:hAnsi="Times New Roman" w:cs="Times New Roman"/>
          <w:color w:val="000000"/>
          <w:sz w:val="24"/>
          <w:szCs w:val="24"/>
        </w:rPr>
        <w:t>„Европска Унија“</w:t>
      </w:r>
      <w:r w:rsidR="00953EB1">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 xml:space="preserve">за земјите кои не се членки на ЕУ или ЕАСА. Образец 143 на ЕАСА, издание 3 – </w:t>
      </w:r>
      <w:r w:rsidR="00D33DE6">
        <w:rPr>
          <w:rFonts w:ascii="Times New Roman" w:hAnsi="Times New Roman" w:cs="Times New Roman"/>
          <w:color w:val="000000"/>
          <w:sz w:val="24"/>
          <w:szCs w:val="24"/>
        </w:rPr>
        <w:t>страница</w:t>
      </w:r>
      <w:r w:rsidRPr="00D779B0">
        <w:rPr>
          <w:rFonts w:ascii="Times New Roman" w:hAnsi="Times New Roman" w:cs="Times New Roman"/>
          <w:color w:val="000000"/>
          <w:sz w:val="24"/>
          <w:szCs w:val="24"/>
        </w:rPr>
        <w:t xml:space="preserve"> 1/2“;</w:t>
      </w:r>
    </w:p>
    <w:p w14:paraId="5BCAAB40" w14:textId="22CB764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на </w:t>
      </w:r>
      <w:r w:rsidR="00D33DE6">
        <w:rPr>
          <w:rFonts w:ascii="Times New Roman" w:hAnsi="Times New Roman" w:cs="Times New Roman"/>
          <w:color w:val="000000"/>
          <w:sz w:val="24"/>
          <w:szCs w:val="24"/>
        </w:rPr>
        <w:t>страница</w:t>
      </w:r>
      <w:r w:rsidRPr="00D779B0">
        <w:rPr>
          <w:rFonts w:ascii="Times New Roman" w:hAnsi="Times New Roman" w:cs="Times New Roman"/>
          <w:color w:val="000000"/>
          <w:sz w:val="24"/>
          <w:szCs w:val="24"/>
        </w:rPr>
        <w:t xml:space="preserve"> 2 од образецот на уверението, подножјето се заменува со следново: „Образец 143 на ЕАСА, издание 3 – </w:t>
      </w:r>
      <w:r w:rsidR="00D33DE6">
        <w:rPr>
          <w:rFonts w:ascii="Times New Roman" w:hAnsi="Times New Roman" w:cs="Times New Roman"/>
          <w:color w:val="000000"/>
          <w:sz w:val="24"/>
          <w:szCs w:val="24"/>
        </w:rPr>
        <w:t>страница</w:t>
      </w:r>
      <w:r w:rsidRPr="00D779B0">
        <w:rPr>
          <w:rFonts w:ascii="Times New Roman" w:hAnsi="Times New Roman" w:cs="Times New Roman"/>
          <w:color w:val="000000"/>
          <w:sz w:val="24"/>
          <w:szCs w:val="24"/>
        </w:rPr>
        <w:t xml:space="preserve"> 2/2“;</w:t>
      </w:r>
    </w:p>
    <w:p w14:paraId="09188DD8" w14:textId="119955A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(21)</w:t>
      </w:r>
      <w:r w:rsidRPr="00D779B0">
        <w:rPr>
          <w:rFonts w:ascii="Times New Roman" w:hAnsi="Times New Roman" w:cs="Times New Roman"/>
          <w:color w:val="000000"/>
          <w:sz w:val="24"/>
          <w:szCs w:val="24"/>
        </w:rPr>
        <w:tab/>
        <w:t>Додаток IV се изменува како што следува:</w:t>
      </w:r>
    </w:p>
    <w:p w14:paraId="0E0657E9" w14:textId="7285087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 xml:space="preserve">на </w:t>
      </w:r>
      <w:r w:rsidR="00D33DE6">
        <w:rPr>
          <w:rFonts w:ascii="Times New Roman" w:hAnsi="Times New Roman" w:cs="Times New Roman"/>
          <w:color w:val="000000"/>
          <w:sz w:val="24"/>
          <w:szCs w:val="24"/>
        </w:rPr>
        <w:t>страница</w:t>
      </w:r>
      <w:r w:rsidRPr="00D779B0">
        <w:rPr>
          <w:rFonts w:ascii="Times New Roman" w:hAnsi="Times New Roman" w:cs="Times New Roman"/>
          <w:color w:val="000000"/>
          <w:sz w:val="24"/>
          <w:szCs w:val="24"/>
        </w:rPr>
        <w:t xml:space="preserve"> 1 од образецот на уверението, фуснотата и подножјето се заменуваат со следново:</w:t>
      </w:r>
    </w:p>
    <w:p w14:paraId="24674137" w14:textId="17BEF67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w:t>
      </w:r>
      <w:r w:rsidRPr="00D779B0">
        <w:rPr>
          <w:rFonts w:ascii="Times New Roman" w:hAnsi="Times New Roman" w:cs="Times New Roman"/>
          <w:color w:val="000000"/>
          <w:sz w:val="24"/>
          <w:szCs w:val="24"/>
        </w:rPr>
        <w:tab/>
      </w:r>
      <w:r w:rsidR="00953EB1">
        <w:rPr>
          <w:rFonts w:ascii="Times New Roman" w:hAnsi="Times New Roman" w:cs="Times New Roman"/>
          <w:color w:val="000000"/>
          <w:sz w:val="24"/>
          <w:szCs w:val="24"/>
        </w:rPr>
        <w:t>С</w:t>
      </w:r>
      <w:r w:rsidR="00953EB1" w:rsidRPr="00D779B0">
        <w:rPr>
          <w:rFonts w:ascii="Times New Roman" w:hAnsi="Times New Roman" w:cs="Times New Roman"/>
          <w:color w:val="000000"/>
          <w:sz w:val="24"/>
          <w:szCs w:val="24"/>
        </w:rPr>
        <w:t xml:space="preserve">е брише </w:t>
      </w:r>
      <w:r w:rsidRPr="00D779B0">
        <w:rPr>
          <w:rFonts w:ascii="Times New Roman" w:hAnsi="Times New Roman" w:cs="Times New Roman"/>
          <w:color w:val="000000"/>
          <w:sz w:val="24"/>
          <w:szCs w:val="24"/>
        </w:rPr>
        <w:t>„Европска Унија“</w:t>
      </w:r>
      <w:r w:rsidR="00953EB1">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rPr>
        <w:t xml:space="preserve">за земјите кои не се членки на ЕУ или ЕАСА. Образец 145 на ЕАСА – издание 2 – </w:t>
      </w:r>
      <w:r w:rsidR="00D33DE6">
        <w:rPr>
          <w:rFonts w:ascii="Times New Roman" w:hAnsi="Times New Roman" w:cs="Times New Roman"/>
          <w:color w:val="000000"/>
          <w:sz w:val="24"/>
          <w:szCs w:val="24"/>
        </w:rPr>
        <w:t>страница</w:t>
      </w:r>
      <w:r w:rsidRPr="00D779B0">
        <w:rPr>
          <w:rFonts w:ascii="Times New Roman" w:hAnsi="Times New Roman" w:cs="Times New Roman"/>
          <w:color w:val="000000"/>
          <w:sz w:val="24"/>
          <w:szCs w:val="24"/>
        </w:rPr>
        <w:t xml:space="preserve"> 1/2“;</w:t>
      </w:r>
    </w:p>
    <w:p w14:paraId="283D9DF8" w14:textId="7EEF583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на </w:t>
      </w:r>
      <w:r w:rsidR="00D33DE6">
        <w:rPr>
          <w:rFonts w:ascii="Times New Roman" w:hAnsi="Times New Roman" w:cs="Times New Roman"/>
          <w:color w:val="000000"/>
          <w:sz w:val="24"/>
          <w:szCs w:val="24"/>
        </w:rPr>
        <w:t>страница</w:t>
      </w:r>
      <w:r w:rsidRPr="00D779B0">
        <w:rPr>
          <w:rFonts w:ascii="Times New Roman" w:hAnsi="Times New Roman" w:cs="Times New Roman"/>
          <w:color w:val="000000"/>
          <w:sz w:val="24"/>
          <w:szCs w:val="24"/>
        </w:rPr>
        <w:t xml:space="preserve"> 2 од образецот на уверението, подножјето се заменува со следново: „Образец 145 на ЕАСА – издание 2 – </w:t>
      </w:r>
      <w:r w:rsidR="00D33DE6">
        <w:rPr>
          <w:rFonts w:ascii="Times New Roman" w:hAnsi="Times New Roman" w:cs="Times New Roman"/>
          <w:color w:val="000000"/>
          <w:sz w:val="24"/>
          <w:szCs w:val="24"/>
        </w:rPr>
        <w:t>страница</w:t>
      </w:r>
      <w:r w:rsidRPr="00D779B0">
        <w:rPr>
          <w:rFonts w:ascii="Times New Roman" w:hAnsi="Times New Roman" w:cs="Times New Roman"/>
          <w:color w:val="000000"/>
          <w:sz w:val="24"/>
          <w:szCs w:val="24"/>
        </w:rPr>
        <w:t xml:space="preserve"> 2/2“;</w:t>
      </w:r>
    </w:p>
    <w:p w14:paraId="5EE1F567" w14:textId="3C70BEB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(22)</w:t>
      </w:r>
      <w:r w:rsidRPr="00D779B0">
        <w:rPr>
          <w:rFonts w:ascii="Times New Roman" w:hAnsi="Times New Roman" w:cs="Times New Roman"/>
          <w:color w:val="000000"/>
          <w:sz w:val="24"/>
          <w:szCs w:val="24"/>
        </w:rPr>
        <w:tab/>
        <w:t>Додаток V се заменува со следново:</w:t>
      </w:r>
    </w:p>
    <w:p w14:paraId="1D90671B" w14:textId="77777777" w:rsidR="00330A3B" w:rsidRPr="00D779B0" w:rsidRDefault="006D29A5" w:rsidP="006D31B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w:t>
      </w:r>
      <w:r w:rsidRPr="00D779B0">
        <w:rPr>
          <w:rFonts w:ascii="Times New Roman" w:hAnsi="Times New Roman" w:cs="Times New Roman"/>
          <w:i/>
          <w:color w:val="000000"/>
          <w:sz w:val="24"/>
          <w:szCs w:val="24"/>
        </w:rPr>
        <w:t>Додаток V</w:t>
      </w:r>
      <w:r w:rsidRPr="00D779B0">
        <w:rPr>
          <w:rFonts w:ascii="Times New Roman" w:hAnsi="Times New Roman" w:cs="Times New Roman"/>
          <w:color w:val="000000"/>
          <w:sz w:val="24"/>
          <w:szCs w:val="24"/>
        </w:rPr>
        <w:t xml:space="preserve"> кон АНЕКС VI ДЕЛ-ARA</w:t>
      </w:r>
    </w:p>
    <w:p w14:paraId="319F6065" w14:textId="77777777" w:rsidR="006D31BA" w:rsidRPr="00D779B0" w:rsidRDefault="006D29A5" w:rsidP="006D31BA">
      <w:pPr>
        <w:shd w:val="clear" w:color="auto" w:fill="FFFFFF"/>
        <w:spacing w:before="120" w:after="120"/>
        <w:jc w:val="center"/>
        <w:rPr>
          <w:rFonts w:ascii="Times New Roman" w:hAnsi="Times New Roman" w:cs="Times New Roman"/>
          <w:b/>
          <w:bCs/>
          <w:color w:val="000000"/>
          <w:sz w:val="24"/>
          <w:szCs w:val="24"/>
        </w:rPr>
      </w:pPr>
      <w:r w:rsidRPr="00D779B0">
        <w:rPr>
          <w:rFonts w:ascii="Times New Roman" w:hAnsi="Times New Roman" w:cs="Times New Roman"/>
          <w:b/>
          <w:color w:val="000000"/>
          <w:sz w:val="24"/>
          <w:szCs w:val="24"/>
        </w:rPr>
        <w:t>УВЕРЕНИЕ ЗА ВОЗДУХОПЛОВНО-МЕДИЦИНСКИ ЦЕНТРИ (AeMC)</w:t>
      </w:r>
    </w:p>
    <w:p w14:paraId="4F1D8A1A" w14:textId="31B31B2D" w:rsidR="006D31BA" w:rsidRPr="00D779B0" w:rsidRDefault="006D29A5" w:rsidP="006D31BA">
      <w:pPr>
        <w:shd w:val="clear" w:color="auto" w:fill="FFFFFF"/>
        <w:spacing w:before="120" w:after="120"/>
        <w:jc w:val="center"/>
        <w:rPr>
          <w:rFonts w:ascii="Times New Roman" w:hAnsi="Times New Roman" w:cs="Times New Roman"/>
          <w:color w:val="000000"/>
          <w:sz w:val="24"/>
          <w:szCs w:val="24"/>
        </w:rPr>
      </w:pPr>
      <w:r w:rsidRPr="00D779B0">
        <w:rPr>
          <w:rFonts w:ascii="Times New Roman" w:hAnsi="Times New Roman" w:cs="Times New Roman"/>
          <w:b/>
          <w:bCs/>
          <w:sz w:val="24"/>
          <w:szCs w:val="24"/>
        </w:rPr>
        <w:t>Европска Унија</w:t>
      </w:r>
      <w:hyperlink w:anchor="bookmark5" w:history="1">
        <w:r w:rsidRPr="00D779B0">
          <w:rPr>
            <w:rFonts w:ascii="Times New Roman" w:hAnsi="Times New Roman" w:cs="Times New Roman"/>
            <w:b/>
            <w:color w:val="000000"/>
            <w:sz w:val="24"/>
            <w:szCs w:val="24"/>
          </w:rPr>
          <w:t xml:space="preserve"> </w:t>
        </w:r>
      </w:hyperlink>
      <w:r w:rsidRPr="00D779B0">
        <w:rPr>
          <w:rFonts w:ascii="Times New Roman" w:hAnsi="Times New Roman" w:cs="Times New Roman"/>
          <w:color w:val="000000"/>
          <w:sz w:val="24"/>
          <w:szCs w:val="24"/>
        </w:rPr>
        <w:t>(</w:t>
      </w:r>
      <w:r w:rsidR="006D31BA" w:rsidRPr="00D779B0">
        <w:rPr>
          <w:rStyle w:val="FootnoteReference"/>
          <w:rFonts w:ascii="Times New Roman" w:hAnsi="Times New Roman" w:cs="Times New Roman"/>
          <w:color w:val="000000"/>
          <w:sz w:val="24"/>
          <w:szCs w:val="24"/>
          <w:lang w:val="en-GB"/>
        </w:rPr>
        <w:footnoteReference w:id="5"/>
      </w:r>
      <w:r w:rsidRPr="00D779B0">
        <w:rPr>
          <w:rFonts w:ascii="Times New Roman" w:hAnsi="Times New Roman" w:cs="Times New Roman"/>
          <w:color w:val="000000"/>
          <w:sz w:val="24"/>
          <w:szCs w:val="24"/>
        </w:rPr>
        <w:t>)</w:t>
      </w:r>
    </w:p>
    <w:p w14:paraId="58F419B5" w14:textId="1ADDEEC4" w:rsidR="006D31BA" w:rsidRPr="00D779B0" w:rsidRDefault="006D29A5" w:rsidP="006D31BA">
      <w:pPr>
        <w:shd w:val="clear" w:color="auto" w:fill="FFFFFF"/>
        <w:spacing w:before="120" w:after="120"/>
        <w:jc w:val="center"/>
        <w:rPr>
          <w:rFonts w:ascii="Times New Roman" w:hAnsi="Times New Roman" w:cs="Times New Roman"/>
          <w:b/>
          <w:bCs/>
          <w:color w:val="000000"/>
          <w:sz w:val="24"/>
          <w:szCs w:val="24"/>
        </w:rPr>
      </w:pPr>
      <w:r w:rsidRPr="00D779B0">
        <w:rPr>
          <w:rFonts w:ascii="Times New Roman" w:hAnsi="Times New Roman" w:cs="Times New Roman"/>
          <w:b/>
          <w:color w:val="000000"/>
          <w:sz w:val="24"/>
          <w:szCs w:val="24"/>
        </w:rPr>
        <w:t>Надлежен орган</w:t>
      </w:r>
    </w:p>
    <w:p w14:paraId="47D045DC" w14:textId="6484E28D" w:rsidR="00330A3B" w:rsidRPr="00D779B0" w:rsidRDefault="006D29A5" w:rsidP="006D31B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УВЕРЕНИЕ ЗА ВОЗДУХОПЛОВНО-МЕДИЦИНСКИ ЦЕНТАР</w:t>
      </w:r>
    </w:p>
    <w:p w14:paraId="1C14D49A"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УПАТУВАЊЕ:</w:t>
      </w:r>
    </w:p>
    <w:p w14:paraId="662CDCF4" w14:textId="557681C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sz w:val="24"/>
          <w:szCs w:val="24"/>
        </w:rPr>
        <w:t>Во согласност со Регулативата (ЕУ) бр. 1178/2011 на Комисијата и Регулативата (ЕУ) 2015/340 на Комисијата</w:t>
      </w:r>
      <w:hyperlink w:anchor="bookmark6" w:history="1">
        <w:r w:rsidRPr="00D779B0">
          <w:rPr>
            <w:rFonts w:ascii="Times New Roman" w:hAnsi="Times New Roman" w:cs="Times New Roman"/>
            <w:color w:val="000000"/>
            <w:sz w:val="24"/>
            <w:szCs w:val="24"/>
          </w:rPr>
          <w:t xml:space="preserve"> </w:t>
        </w:r>
      </w:hyperlink>
      <w:r w:rsidRPr="00D779B0">
        <w:rPr>
          <w:rFonts w:ascii="Times New Roman" w:hAnsi="Times New Roman" w:cs="Times New Roman"/>
          <w:color w:val="000000"/>
          <w:sz w:val="24"/>
          <w:szCs w:val="24"/>
        </w:rPr>
        <w:t>(</w:t>
      </w:r>
      <w:r w:rsidR="006D31BA" w:rsidRPr="00D779B0">
        <w:rPr>
          <w:rStyle w:val="FootnoteReference"/>
          <w:rFonts w:ascii="Times New Roman" w:hAnsi="Times New Roman" w:cs="Times New Roman"/>
          <w:color w:val="000000"/>
          <w:sz w:val="24"/>
          <w:szCs w:val="24"/>
          <w:lang w:val="en-GB"/>
        </w:rPr>
        <w:footnoteReference w:id="6"/>
      </w:r>
      <w:r w:rsidRPr="00D779B0">
        <w:rPr>
          <w:rFonts w:ascii="Times New Roman" w:hAnsi="Times New Roman" w:cs="Times New Roman"/>
          <w:color w:val="000000"/>
          <w:sz w:val="24"/>
          <w:szCs w:val="24"/>
        </w:rPr>
        <w:t>)</w:t>
      </w:r>
      <w:r w:rsidRPr="00D779B0">
        <w:rPr>
          <w:rFonts w:ascii="Times New Roman" w:hAnsi="Times New Roman" w:cs="Times New Roman"/>
          <w:sz w:val="24"/>
          <w:szCs w:val="24"/>
        </w:rPr>
        <w:t xml:space="preserve"> и врз основа на условите наведени подолу, [надлежниот орган] издава уверение на:</w:t>
      </w:r>
    </w:p>
    <w:p w14:paraId="622561A4" w14:textId="77777777" w:rsidR="00330A3B" w:rsidRPr="00D779B0" w:rsidRDefault="006D29A5" w:rsidP="006D31B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[ИМЕ НА ОРГАНИЗАЦИЈАТА]</w:t>
      </w:r>
    </w:p>
    <w:p w14:paraId="4F1FCB16" w14:textId="77777777" w:rsidR="00330A3B" w:rsidRPr="00D779B0" w:rsidRDefault="006D29A5" w:rsidP="006D31B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[АДРЕСА НА ОРГАНИЗАЦИЈАТА]</w:t>
      </w:r>
    </w:p>
    <w:p w14:paraId="11BEE429"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како Воздухопловно-медицински центар одобрен според Дел-ORA со правата и опсегот на активности како што се наведени во приложените услови на одобрението.</w:t>
      </w:r>
    </w:p>
    <w:p w14:paraId="6343B236"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УСЛОВИ:</w:t>
      </w:r>
    </w:p>
    <w:p w14:paraId="3718C019" w14:textId="5FE21CE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Ова уверение е ограничено на она наведено во одделот за опсегот на одобрението во прирачникот на одобрената организација;</w:t>
      </w:r>
    </w:p>
    <w:p w14:paraId="4B8E49EF" w14:textId="2BE58C5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Ова уверение бара исполнување на процедурите наведени во документацијата за организацијата како што се бара од Дел-ORA.</w:t>
      </w:r>
    </w:p>
    <w:p w14:paraId="2CB74146" w14:textId="278B1078" w:rsidR="00330A3B"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Ова уверение останува важечко под услов да се исполнат условите од Дел-ORA освен ако не е вратено, заменето, суспендирано или одземено.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0"/>
      </w:tblGrid>
      <w:tr w:rsidR="006D31BA" w:rsidRPr="00D779B0" w14:paraId="1F15C833" w14:textId="77777777" w:rsidTr="006D31BA">
        <w:tc>
          <w:tcPr>
            <w:tcW w:w="4150" w:type="dxa"/>
          </w:tcPr>
          <w:p w14:paraId="78ADACC7" w14:textId="242BFCD4" w:rsidR="006D31BA" w:rsidRPr="00D779B0" w:rsidRDefault="006D31BA" w:rsidP="00E80582">
            <w:pPr>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Датум на издавање: дд/мм/гггг</w:t>
            </w:r>
          </w:p>
        </w:tc>
        <w:tc>
          <w:tcPr>
            <w:tcW w:w="4150" w:type="dxa"/>
          </w:tcPr>
          <w:p w14:paraId="39CA4069" w14:textId="43E3A880" w:rsidR="006D31BA" w:rsidRPr="00D779B0" w:rsidRDefault="006D31BA" w:rsidP="00E80582">
            <w:pPr>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Потпис: [Надлежен орган]</w:t>
            </w:r>
          </w:p>
        </w:tc>
      </w:tr>
    </w:tbl>
    <w:p w14:paraId="14E1C27D" w14:textId="77777777" w:rsidR="006D31BA" w:rsidRPr="00D779B0" w:rsidRDefault="006D31BA">
      <w:pPr>
        <w:widowControl/>
        <w:autoSpaceDE/>
        <w:autoSpaceDN/>
        <w:adjustRightInd/>
        <w:spacing w:after="160" w:line="259" w:lineRule="auto"/>
        <w:rPr>
          <w:rFonts w:ascii="Times New Roman" w:hAnsi="Times New Roman" w:cs="Times New Roman"/>
          <w:color w:val="000000"/>
          <w:sz w:val="24"/>
          <w:szCs w:val="24"/>
        </w:rPr>
      </w:pPr>
      <w:r w:rsidRPr="00D779B0">
        <w:rPr>
          <w:rFonts w:ascii="Times New Roman" w:hAnsi="Times New Roman" w:cs="Times New Roman"/>
          <w:sz w:val="24"/>
          <w:szCs w:val="24"/>
        </w:rPr>
        <w:br w:type="page"/>
      </w:r>
    </w:p>
    <w:p w14:paraId="25F55234" w14:textId="485F8E4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Образец 146 на ЕАСА, издание 2</w:t>
      </w:r>
    </w:p>
    <w:p w14:paraId="4F5F5867" w14:textId="77777777" w:rsidR="00330A3B" w:rsidRPr="00D779B0" w:rsidRDefault="006D29A5" w:rsidP="006D31B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УВЕРЕНИЕ ЗА ВОЗДУХОПЛОВНО-МЕДИЦИНСКИ ЦЕНТАР</w:t>
      </w:r>
    </w:p>
    <w:p w14:paraId="17CF3426" w14:textId="595F441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sz w:val="24"/>
          <w:szCs w:val="24"/>
        </w:rPr>
        <w:t>Прилог</w:t>
      </w:r>
      <w:hyperlink w:anchor="bookmark9" w:history="1">
        <w:r w:rsidRPr="00D779B0">
          <w:rPr>
            <w:rFonts w:ascii="Times New Roman" w:hAnsi="Times New Roman" w:cs="Times New Roman"/>
            <w:color w:val="000000"/>
            <w:sz w:val="24"/>
            <w:szCs w:val="24"/>
          </w:rPr>
          <w:t xml:space="preserve"> </w:t>
        </w:r>
      </w:hyperlink>
      <w:r w:rsidRPr="00D779B0">
        <w:rPr>
          <w:rFonts w:ascii="Times New Roman" w:hAnsi="Times New Roman" w:cs="Times New Roman"/>
          <w:color w:val="000000"/>
          <w:sz w:val="24"/>
          <w:szCs w:val="24"/>
        </w:rPr>
        <w:t>(</w:t>
      </w:r>
      <w:r w:rsidR="006D31BA" w:rsidRPr="00D779B0">
        <w:rPr>
          <w:rStyle w:val="FootnoteReference"/>
          <w:rFonts w:ascii="Times New Roman" w:hAnsi="Times New Roman" w:cs="Times New Roman"/>
          <w:color w:val="000000"/>
          <w:sz w:val="24"/>
          <w:szCs w:val="24"/>
          <w:lang w:val="en-GB"/>
        </w:rPr>
        <w:footnoteReference w:id="7"/>
      </w:r>
      <w:r w:rsidRPr="00D779B0">
        <w:rPr>
          <w:rFonts w:ascii="Times New Roman" w:hAnsi="Times New Roman" w:cs="Times New Roman"/>
          <w:color w:val="000000"/>
          <w:sz w:val="24"/>
          <w:szCs w:val="24"/>
        </w:rPr>
        <w:t>)</w:t>
      </w:r>
      <w:r w:rsidRPr="00D779B0">
        <w:rPr>
          <w:rFonts w:ascii="Times New Roman" w:hAnsi="Times New Roman" w:cs="Times New Roman"/>
          <w:sz w:val="24"/>
          <w:szCs w:val="24"/>
        </w:rPr>
        <w:t xml:space="preserve"> кон уверение за AeMC со број:</w:t>
      </w:r>
    </w:p>
    <w:p w14:paraId="03104949" w14:textId="77777777" w:rsidR="00330A3B" w:rsidRPr="00D779B0" w:rsidRDefault="006D29A5" w:rsidP="006D31B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ПРАВА И ОПСЕГ</w:t>
      </w:r>
    </w:p>
    <w:p w14:paraId="22D820D5"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[Име на организацијата] го/ги стекнал(а) правото(ата) да врши воздухопловно-медицински прегледи и процени за издавање на уверенија за здравствена способност и медицински извештаи како што е наведено во табелата подолу и да ги издава овие уверенија за здравствена способност и медицински извештаи за:</w:t>
      </w:r>
    </w:p>
    <w:tbl>
      <w:tblPr>
        <w:tblW w:w="0" w:type="auto"/>
        <w:tblInd w:w="40" w:type="dxa"/>
        <w:tblLayout w:type="fixed"/>
        <w:tblCellMar>
          <w:left w:w="40" w:type="dxa"/>
          <w:right w:w="40" w:type="dxa"/>
        </w:tblCellMar>
        <w:tblLook w:val="0000" w:firstRow="0" w:lastRow="0" w:firstColumn="0" w:lastColumn="0" w:noHBand="0" w:noVBand="0"/>
      </w:tblPr>
      <w:tblGrid>
        <w:gridCol w:w="2904"/>
        <w:gridCol w:w="3283"/>
        <w:gridCol w:w="2549"/>
      </w:tblGrid>
      <w:tr w:rsidR="00330A3B" w:rsidRPr="00D779B0" w14:paraId="7EA1A917" w14:textId="77777777" w:rsidTr="006D31BA">
        <w:trPr>
          <w:trHeight w:val="346"/>
        </w:trPr>
        <w:tc>
          <w:tcPr>
            <w:tcW w:w="2904" w:type="dxa"/>
            <w:tcBorders>
              <w:top w:val="single" w:sz="6" w:space="0" w:color="auto"/>
              <w:left w:val="nil"/>
              <w:bottom w:val="single" w:sz="6" w:space="0" w:color="auto"/>
              <w:right w:val="single" w:sz="6" w:space="0" w:color="auto"/>
            </w:tcBorders>
            <w:shd w:val="clear" w:color="auto" w:fill="FFFFFF"/>
            <w:vAlign w:val="center"/>
          </w:tcPr>
          <w:p w14:paraId="58703E68" w14:textId="77777777" w:rsidR="00330A3B" w:rsidRPr="00996BD9" w:rsidRDefault="00330A3B" w:rsidP="006D31BA">
            <w:pPr>
              <w:shd w:val="clear" w:color="auto" w:fill="FFFFFF"/>
              <w:spacing w:before="120" w:after="120"/>
              <w:jc w:val="center"/>
              <w:rPr>
                <w:rFonts w:ascii="Times New Roman" w:hAnsi="Times New Roman" w:cs="Times New Roman"/>
                <w:sz w:val="24"/>
                <w:szCs w:val="24"/>
              </w:rPr>
            </w:pPr>
          </w:p>
        </w:tc>
        <w:tc>
          <w:tcPr>
            <w:tcW w:w="3283" w:type="dxa"/>
            <w:tcBorders>
              <w:top w:val="single" w:sz="6" w:space="0" w:color="auto"/>
              <w:left w:val="single" w:sz="6" w:space="0" w:color="auto"/>
              <w:bottom w:val="single" w:sz="6" w:space="0" w:color="auto"/>
              <w:right w:val="single" w:sz="6" w:space="0" w:color="auto"/>
            </w:tcBorders>
            <w:shd w:val="clear" w:color="auto" w:fill="FFFFFF"/>
            <w:vAlign w:val="center"/>
          </w:tcPr>
          <w:p w14:paraId="65170102" w14:textId="77777777" w:rsidR="00330A3B" w:rsidRPr="00D779B0" w:rsidRDefault="006D29A5" w:rsidP="006D31B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Првично издавање/повторно потврдување на важноста/обновување</w:t>
            </w:r>
          </w:p>
        </w:tc>
        <w:tc>
          <w:tcPr>
            <w:tcW w:w="2549" w:type="dxa"/>
            <w:tcBorders>
              <w:top w:val="single" w:sz="6" w:space="0" w:color="auto"/>
              <w:left w:val="single" w:sz="6" w:space="0" w:color="auto"/>
              <w:bottom w:val="single" w:sz="6" w:space="0" w:color="auto"/>
              <w:right w:val="nil"/>
            </w:tcBorders>
            <w:shd w:val="clear" w:color="auto" w:fill="FFFFFF"/>
            <w:vAlign w:val="center"/>
          </w:tcPr>
          <w:p w14:paraId="3E8E92C7" w14:textId="77777777" w:rsidR="00330A3B" w:rsidRPr="00D779B0" w:rsidRDefault="006D29A5" w:rsidP="006D31B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Датум на издавање</w:t>
            </w:r>
          </w:p>
        </w:tc>
      </w:tr>
      <w:tr w:rsidR="00330A3B" w:rsidRPr="00D779B0" w14:paraId="168F4C41" w14:textId="77777777">
        <w:trPr>
          <w:trHeight w:val="350"/>
        </w:trPr>
        <w:tc>
          <w:tcPr>
            <w:tcW w:w="2904" w:type="dxa"/>
            <w:tcBorders>
              <w:top w:val="single" w:sz="6" w:space="0" w:color="auto"/>
              <w:left w:val="nil"/>
              <w:bottom w:val="single" w:sz="6" w:space="0" w:color="auto"/>
              <w:right w:val="single" w:sz="6" w:space="0" w:color="auto"/>
            </w:tcBorders>
            <w:shd w:val="clear" w:color="auto" w:fill="FFFFFF"/>
          </w:tcPr>
          <w:p w14:paraId="1AE0DE87"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Класа 1</w:t>
            </w:r>
          </w:p>
        </w:tc>
        <w:tc>
          <w:tcPr>
            <w:tcW w:w="3283" w:type="dxa"/>
            <w:tcBorders>
              <w:top w:val="single" w:sz="6" w:space="0" w:color="auto"/>
              <w:left w:val="single" w:sz="6" w:space="0" w:color="auto"/>
              <w:bottom w:val="single" w:sz="6" w:space="0" w:color="auto"/>
              <w:right w:val="single" w:sz="6" w:space="0" w:color="auto"/>
            </w:tcBorders>
            <w:shd w:val="clear" w:color="auto" w:fill="FFFFFF"/>
          </w:tcPr>
          <w:p w14:paraId="3FC5AE98"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c>
          <w:tcPr>
            <w:tcW w:w="2549" w:type="dxa"/>
            <w:tcBorders>
              <w:top w:val="single" w:sz="6" w:space="0" w:color="auto"/>
              <w:left w:val="single" w:sz="6" w:space="0" w:color="auto"/>
              <w:bottom w:val="single" w:sz="6" w:space="0" w:color="auto"/>
              <w:right w:val="nil"/>
            </w:tcBorders>
            <w:shd w:val="clear" w:color="auto" w:fill="FFFFFF"/>
          </w:tcPr>
          <w:p w14:paraId="1DC7D6FC"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r>
      <w:tr w:rsidR="00330A3B" w:rsidRPr="00D779B0" w14:paraId="6418CF22" w14:textId="77777777">
        <w:trPr>
          <w:trHeight w:val="350"/>
        </w:trPr>
        <w:tc>
          <w:tcPr>
            <w:tcW w:w="2904" w:type="dxa"/>
            <w:tcBorders>
              <w:top w:val="single" w:sz="6" w:space="0" w:color="auto"/>
              <w:left w:val="nil"/>
              <w:bottom w:val="single" w:sz="6" w:space="0" w:color="auto"/>
              <w:right w:val="single" w:sz="6" w:space="0" w:color="auto"/>
            </w:tcBorders>
            <w:shd w:val="clear" w:color="auto" w:fill="FFFFFF"/>
          </w:tcPr>
          <w:p w14:paraId="126D10C3"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Класа 2/LAPL/кабински екипаж</w:t>
            </w:r>
          </w:p>
        </w:tc>
        <w:tc>
          <w:tcPr>
            <w:tcW w:w="3283" w:type="dxa"/>
            <w:tcBorders>
              <w:top w:val="single" w:sz="6" w:space="0" w:color="auto"/>
              <w:left w:val="single" w:sz="6" w:space="0" w:color="auto"/>
              <w:bottom w:val="single" w:sz="6" w:space="0" w:color="auto"/>
              <w:right w:val="single" w:sz="6" w:space="0" w:color="auto"/>
            </w:tcBorders>
            <w:shd w:val="clear" w:color="auto" w:fill="FFFFFF"/>
          </w:tcPr>
          <w:p w14:paraId="7D28D6B0"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c>
          <w:tcPr>
            <w:tcW w:w="2549" w:type="dxa"/>
            <w:tcBorders>
              <w:top w:val="single" w:sz="6" w:space="0" w:color="auto"/>
              <w:left w:val="single" w:sz="6" w:space="0" w:color="auto"/>
              <w:bottom w:val="single" w:sz="6" w:space="0" w:color="auto"/>
              <w:right w:val="nil"/>
            </w:tcBorders>
            <w:shd w:val="clear" w:color="auto" w:fill="FFFFFF"/>
          </w:tcPr>
          <w:p w14:paraId="22C11394"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r>
      <w:tr w:rsidR="00330A3B" w:rsidRPr="00D779B0" w14:paraId="29AE2144" w14:textId="77777777">
        <w:trPr>
          <w:trHeight w:val="355"/>
        </w:trPr>
        <w:tc>
          <w:tcPr>
            <w:tcW w:w="2904" w:type="dxa"/>
            <w:tcBorders>
              <w:top w:val="single" w:sz="6" w:space="0" w:color="auto"/>
              <w:left w:val="nil"/>
              <w:bottom w:val="single" w:sz="6" w:space="0" w:color="auto"/>
              <w:right w:val="single" w:sz="6" w:space="0" w:color="auto"/>
            </w:tcBorders>
            <w:shd w:val="clear" w:color="auto" w:fill="FFFFFF"/>
          </w:tcPr>
          <w:p w14:paraId="26CF384D"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bookmarkStart w:id="1" w:name="bookmark7"/>
            <w:r w:rsidRPr="00D779B0">
              <w:rPr>
                <w:rFonts w:ascii="Times New Roman" w:hAnsi="Times New Roman" w:cs="Times New Roman"/>
                <w:sz w:val="24"/>
                <w:szCs w:val="24"/>
              </w:rPr>
              <w:t>К</w:t>
            </w:r>
            <w:bookmarkEnd w:id="1"/>
            <w:r w:rsidRPr="00D779B0">
              <w:rPr>
                <w:rFonts w:ascii="Times New Roman" w:hAnsi="Times New Roman" w:cs="Times New Roman"/>
                <w:color w:val="000000"/>
                <w:sz w:val="24"/>
                <w:szCs w:val="24"/>
              </w:rPr>
              <w:t>лас 3</w:t>
            </w:r>
            <w:hyperlink w:anchor="bookmark8" w:history="1">
              <w:r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vertAlign w:val="superscript"/>
                </w:rPr>
                <w:t>1</w:t>
              </w:r>
              <w:r w:rsidRPr="00D779B0">
                <w:rPr>
                  <w:rFonts w:ascii="Times New Roman" w:hAnsi="Times New Roman" w:cs="Times New Roman"/>
                  <w:color w:val="000000"/>
                  <w:sz w:val="24"/>
                  <w:szCs w:val="24"/>
                </w:rPr>
                <w:t>)</w:t>
              </w:r>
            </w:hyperlink>
          </w:p>
        </w:tc>
        <w:tc>
          <w:tcPr>
            <w:tcW w:w="3283" w:type="dxa"/>
            <w:tcBorders>
              <w:top w:val="single" w:sz="6" w:space="0" w:color="auto"/>
              <w:left w:val="single" w:sz="6" w:space="0" w:color="auto"/>
              <w:bottom w:val="single" w:sz="6" w:space="0" w:color="auto"/>
              <w:right w:val="single" w:sz="6" w:space="0" w:color="auto"/>
            </w:tcBorders>
            <w:shd w:val="clear" w:color="auto" w:fill="FFFFFF"/>
          </w:tcPr>
          <w:p w14:paraId="76AF997E"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c>
          <w:tcPr>
            <w:tcW w:w="2549" w:type="dxa"/>
            <w:tcBorders>
              <w:top w:val="single" w:sz="6" w:space="0" w:color="auto"/>
              <w:left w:val="single" w:sz="6" w:space="0" w:color="auto"/>
              <w:bottom w:val="single" w:sz="6" w:space="0" w:color="auto"/>
              <w:right w:val="nil"/>
            </w:tcBorders>
            <w:shd w:val="clear" w:color="auto" w:fill="FFFFFF"/>
          </w:tcPr>
          <w:p w14:paraId="49A06777" w14:textId="77777777" w:rsidR="00330A3B" w:rsidRPr="00D779B0" w:rsidRDefault="00330A3B" w:rsidP="00E80582">
            <w:pPr>
              <w:shd w:val="clear" w:color="auto" w:fill="FFFFFF"/>
              <w:spacing w:before="120" w:after="120"/>
              <w:jc w:val="both"/>
              <w:rPr>
                <w:rFonts w:ascii="Times New Roman" w:hAnsi="Times New Roman" w:cs="Times New Roman"/>
                <w:sz w:val="24"/>
                <w:szCs w:val="24"/>
                <w:lang w:val="en-GB"/>
              </w:rPr>
            </w:pPr>
          </w:p>
        </w:tc>
      </w:tr>
      <w:tr w:rsidR="00330A3B" w:rsidRPr="00D779B0" w14:paraId="409C0483" w14:textId="77777777">
        <w:trPr>
          <w:trHeight w:val="341"/>
        </w:trPr>
        <w:tc>
          <w:tcPr>
            <w:tcW w:w="8736" w:type="dxa"/>
            <w:gridSpan w:val="3"/>
            <w:tcBorders>
              <w:top w:val="single" w:sz="6" w:space="0" w:color="auto"/>
              <w:left w:val="nil"/>
              <w:bottom w:val="single" w:sz="6" w:space="0" w:color="auto"/>
              <w:right w:val="nil"/>
            </w:tcBorders>
            <w:shd w:val="clear" w:color="auto" w:fill="FFFFFF"/>
          </w:tcPr>
          <w:p w14:paraId="183EE9CC" w14:textId="6BAFEE5E" w:rsidR="00330A3B" w:rsidRPr="00D779B0" w:rsidRDefault="00E73A98" w:rsidP="00E80582">
            <w:pPr>
              <w:shd w:val="clear" w:color="auto" w:fill="FFFFFF"/>
              <w:spacing w:before="120" w:after="120"/>
              <w:jc w:val="both"/>
              <w:rPr>
                <w:rFonts w:ascii="Times New Roman" w:hAnsi="Times New Roman" w:cs="Times New Roman"/>
                <w:sz w:val="24"/>
                <w:szCs w:val="24"/>
              </w:rPr>
            </w:pPr>
            <w:hyperlink w:anchor="bookmark7" w:history="1">
              <w:bookmarkStart w:id="2" w:name="bookmark8"/>
              <w:r w:rsidR="004836C5" w:rsidRPr="00D779B0">
                <w:rPr>
                  <w:rFonts w:ascii="Times New Roman" w:hAnsi="Times New Roman" w:cs="Times New Roman"/>
                  <w:color w:val="000000"/>
                  <w:sz w:val="24"/>
                  <w:szCs w:val="24"/>
                </w:rPr>
                <w:t>(</w:t>
              </w:r>
              <w:bookmarkEnd w:id="2"/>
              <w:r w:rsidR="004836C5" w:rsidRPr="00D779B0">
                <w:rPr>
                  <w:rFonts w:ascii="Times New Roman" w:hAnsi="Times New Roman" w:cs="Times New Roman"/>
                  <w:color w:val="000000"/>
                  <w:sz w:val="24"/>
                  <w:szCs w:val="24"/>
                  <w:vertAlign w:val="superscript"/>
                </w:rPr>
                <w:t>1</w:t>
              </w:r>
              <w:r w:rsidR="004836C5" w:rsidRPr="00D779B0">
                <w:rPr>
                  <w:rFonts w:ascii="Times New Roman" w:hAnsi="Times New Roman" w:cs="Times New Roman"/>
                  <w:color w:val="000000"/>
                  <w:sz w:val="24"/>
                  <w:szCs w:val="24"/>
                </w:rPr>
                <w:t>)</w:t>
              </w:r>
            </w:hyperlink>
            <w:r w:rsidR="004836C5" w:rsidRPr="00D779B0">
              <w:rPr>
                <w:rFonts w:ascii="Times New Roman" w:hAnsi="Times New Roman" w:cs="Times New Roman"/>
                <w:sz w:val="24"/>
                <w:szCs w:val="24"/>
              </w:rPr>
              <w:t xml:space="preserve"> Класа 3 се додава само за AeMC одобрени за вршење на воздухопловно-медицински прегледи од класа 3.</w:t>
            </w: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0"/>
      </w:tblGrid>
      <w:tr w:rsidR="006D31BA" w:rsidRPr="00D779B0" w14:paraId="5A56666A" w14:textId="77777777" w:rsidTr="006D31BA">
        <w:tc>
          <w:tcPr>
            <w:tcW w:w="4150" w:type="dxa"/>
          </w:tcPr>
          <w:p w14:paraId="7DB62284" w14:textId="77777777" w:rsidR="006D31BA" w:rsidRPr="00D779B0" w:rsidRDefault="006D31BA" w:rsidP="006F0F87">
            <w:pPr>
              <w:spacing w:before="120" w:after="120"/>
              <w:jc w:val="both"/>
              <w:rPr>
                <w:rFonts w:ascii="Times New Roman" w:hAnsi="Times New Roman" w:cs="Times New Roman"/>
                <w:sz w:val="24"/>
                <w:szCs w:val="24"/>
              </w:rPr>
            </w:pPr>
            <w:bookmarkStart w:id="3" w:name="bookmark9"/>
            <w:r w:rsidRPr="00D779B0">
              <w:rPr>
                <w:rFonts w:ascii="Times New Roman" w:hAnsi="Times New Roman" w:cs="Times New Roman"/>
                <w:color w:val="000000"/>
                <w:sz w:val="24"/>
                <w:szCs w:val="24"/>
              </w:rPr>
              <w:t>Датум на издавање: дд/мм/гггг</w:t>
            </w:r>
          </w:p>
        </w:tc>
        <w:tc>
          <w:tcPr>
            <w:tcW w:w="4150" w:type="dxa"/>
          </w:tcPr>
          <w:p w14:paraId="4F5711E5" w14:textId="77777777" w:rsidR="006D31BA" w:rsidRPr="00D779B0" w:rsidRDefault="006D31BA" w:rsidP="006F0F87">
            <w:pPr>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Потпис: [Надлежен орган]</w:t>
            </w:r>
          </w:p>
        </w:tc>
      </w:tr>
      <w:bookmarkEnd w:id="3"/>
    </w:tbl>
    <w:p w14:paraId="6A5557A5" w14:textId="77777777" w:rsidR="00B06CDA" w:rsidRPr="00D779B0" w:rsidRDefault="00B06CDA" w:rsidP="00B06CDA">
      <w:pPr>
        <w:widowControl/>
        <w:autoSpaceDE/>
        <w:autoSpaceDN/>
        <w:adjustRightInd/>
        <w:spacing w:after="160" w:line="259" w:lineRule="auto"/>
        <w:jc w:val="both"/>
        <w:rPr>
          <w:rFonts w:ascii="Times New Roman" w:hAnsi="Times New Roman" w:cs="Times New Roman"/>
          <w:color w:val="000000"/>
          <w:sz w:val="24"/>
          <w:szCs w:val="24"/>
        </w:rPr>
      </w:pPr>
      <w:r w:rsidRPr="00D779B0">
        <w:rPr>
          <w:rFonts w:ascii="Times New Roman" w:hAnsi="Times New Roman" w:cs="Times New Roman"/>
          <w:sz w:val="24"/>
          <w:szCs w:val="24"/>
        </w:rPr>
        <w:br w:type="page"/>
      </w:r>
    </w:p>
    <w:p w14:paraId="3F4466B0" w14:textId="1843566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(23)</w:t>
      </w:r>
      <w:r w:rsidRPr="00D779B0">
        <w:rPr>
          <w:rFonts w:ascii="Times New Roman" w:hAnsi="Times New Roman" w:cs="Times New Roman"/>
          <w:color w:val="000000"/>
          <w:sz w:val="24"/>
          <w:szCs w:val="24"/>
        </w:rPr>
        <w:tab/>
        <w:t>Додаток VII се заменува со следново:</w:t>
      </w:r>
    </w:p>
    <w:p w14:paraId="3E2442D5" w14:textId="77777777" w:rsidR="00330A3B" w:rsidRPr="00D779B0" w:rsidRDefault="006D29A5" w:rsidP="00B06CD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w:t>
      </w:r>
      <w:r w:rsidRPr="00D779B0">
        <w:rPr>
          <w:rFonts w:ascii="Times New Roman" w:hAnsi="Times New Roman" w:cs="Times New Roman"/>
          <w:i/>
          <w:color w:val="000000"/>
          <w:sz w:val="24"/>
          <w:szCs w:val="24"/>
        </w:rPr>
        <w:t xml:space="preserve">Додаток </w:t>
      </w:r>
      <w:r w:rsidRPr="00D779B0">
        <w:rPr>
          <w:rFonts w:ascii="Times New Roman" w:hAnsi="Times New Roman" w:cs="Times New Roman"/>
          <w:i/>
          <w:iCs/>
          <w:color w:val="000000"/>
          <w:sz w:val="24"/>
          <w:szCs w:val="24"/>
        </w:rPr>
        <w:t>VII</w:t>
      </w:r>
      <w:r w:rsidRPr="00D779B0">
        <w:rPr>
          <w:rFonts w:ascii="Times New Roman" w:hAnsi="Times New Roman" w:cs="Times New Roman"/>
          <w:color w:val="000000"/>
          <w:sz w:val="24"/>
          <w:szCs w:val="24"/>
        </w:rPr>
        <w:t xml:space="preserve"> кон АНЕКС VI ДЕЛ-ARA</w:t>
      </w:r>
    </w:p>
    <w:p w14:paraId="36224022" w14:textId="77777777" w:rsidR="00B06CDA" w:rsidRPr="00D779B0" w:rsidRDefault="006D29A5" w:rsidP="00B06CDA">
      <w:pPr>
        <w:shd w:val="clear" w:color="auto" w:fill="FFFFFF"/>
        <w:spacing w:before="120" w:after="120"/>
        <w:jc w:val="center"/>
        <w:rPr>
          <w:rFonts w:ascii="Times New Roman" w:hAnsi="Times New Roman" w:cs="Times New Roman"/>
          <w:b/>
          <w:bCs/>
          <w:color w:val="000000"/>
          <w:sz w:val="24"/>
          <w:szCs w:val="24"/>
        </w:rPr>
      </w:pPr>
      <w:r w:rsidRPr="00D779B0">
        <w:rPr>
          <w:rFonts w:ascii="Times New Roman" w:hAnsi="Times New Roman" w:cs="Times New Roman"/>
          <w:b/>
          <w:color w:val="000000"/>
          <w:sz w:val="24"/>
          <w:szCs w:val="24"/>
        </w:rPr>
        <w:t>УВЕРЕНИЕ ЗА ВОЗДУХОПЛОВНО-МЕДИЦИНСКИ ИСПИТУВАЧИ (AME)</w:t>
      </w:r>
    </w:p>
    <w:p w14:paraId="20F79E06" w14:textId="001A7031" w:rsidR="00B06CDA" w:rsidRPr="00D779B0" w:rsidRDefault="006D29A5" w:rsidP="00B06CDA">
      <w:pPr>
        <w:shd w:val="clear" w:color="auto" w:fill="FFFFFF"/>
        <w:spacing w:before="120" w:after="120"/>
        <w:jc w:val="center"/>
        <w:rPr>
          <w:rFonts w:ascii="Times New Roman" w:hAnsi="Times New Roman" w:cs="Times New Roman"/>
          <w:color w:val="000000"/>
          <w:sz w:val="24"/>
          <w:szCs w:val="24"/>
        </w:rPr>
      </w:pPr>
      <w:r w:rsidRPr="00D779B0">
        <w:rPr>
          <w:rFonts w:ascii="Times New Roman" w:hAnsi="Times New Roman" w:cs="Times New Roman"/>
          <w:b/>
          <w:bCs/>
          <w:sz w:val="24"/>
          <w:szCs w:val="24"/>
        </w:rPr>
        <w:t>Европска Унија</w:t>
      </w:r>
      <w:hyperlink w:anchor="bookmark10" w:history="1">
        <w:r w:rsidRPr="00D779B0">
          <w:rPr>
            <w:rFonts w:ascii="Times New Roman" w:hAnsi="Times New Roman" w:cs="Times New Roman"/>
            <w:b/>
            <w:color w:val="000000"/>
            <w:sz w:val="24"/>
            <w:szCs w:val="24"/>
          </w:rPr>
          <w:t xml:space="preserve"> </w:t>
        </w:r>
      </w:hyperlink>
      <w:r w:rsidRPr="00D779B0">
        <w:rPr>
          <w:rFonts w:ascii="Times New Roman" w:hAnsi="Times New Roman" w:cs="Times New Roman"/>
          <w:color w:val="000000"/>
          <w:sz w:val="24"/>
          <w:szCs w:val="24"/>
        </w:rPr>
        <w:t>(</w:t>
      </w:r>
      <w:r w:rsidR="00B06CDA" w:rsidRPr="00D779B0">
        <w:rPr>
          <w:rStyle w:val="FootnoteReference"/>
          <w:rFonts w:ascii="Times New Roman" w:hAnsi="Times New Roman" w:cs="Times New Roman"/>
          <w:color w:val="000000"/>
          <w:sz w:val="24"/>
          <w:szCs w:val="24"/>
          <w:lang w:val="en-GB"/>
        </w:rPr>
        <w:footnoteReference w:id="8"/>
      </w:r>
      <w:r w:rsidRPr="00D779B0">
        <w:rPr>
          <w:rFonts w:ascii="Times New Roman" w:hAnsi="Times New Roman" w:cs="Times New Roman"/>
          <w:color w:val="000000"/>
          <w:sz w:val="24"/>
          <w:szCs w:val="24"/>
        </w:rPr>
        <w:t>)</w:t>
      </w:r>
    </w:p>
    <w:p w14:paraId="290D374E" w14:textId="77777777" w:rsidR="00B06CDA" w:rsidRPr="00D779B0" w:rsidRDefault="006D29A5" w:rsidP="00B06CDA">
      <w:pPr>
        <w:shd w:val="clear" w:color="auto" w:fill="FFFFFF"/>
        <w:spacing w:before="120" w:after="120"/>
        <w:jc w:val="center"/>
        <w:rPr>
          <w:rFonts w:ascii="Times New Roman" w:hAnsi="Times New Roman" w:cs="Times New Roman"/>
          <w:b/>
          <w:bCs/>
          <w:color w:val="000000"/>
          <w:sz w:val="24"/>
          <w:szCs w:val="24"/>
        </w:rPr>
      </w:pPr>
      <w:r w:rsidRPr="00D779B0">
        <w:rPr>
          <w:rFonts w:ascii="Times New Roman" w:hAnsi="Times New Roman" w:cs="Times New Roman"/>
          <w:b/>
          <w:color w:val="000000"/>
          <w:sz w:val="24"/>
          <w:szCs w:val="24"/>
        </w:rPr>
        <w:t>Надлежен орган</w:t>
      </w:r>
    </w:p>
    <w:p w14:paraId="1024B781" w14:textId="09C36BDA" w:rsidR="00330A3B" w:rsidRPr="00D779B0" w:rsidRDefault="006D29A5" w:rsidP="00B06CD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УВЕРЕНИЕ ЗА ВОЗДУХОПЛОВНО-МЕДИЦИНСКИ ИСПИТУВАЧ</w:t>
      </w:r>
    </w:p>
    <w:p w14:paraId="6BA08655"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БРОЈ НА УВЕРЕНИЕ/УПАТУВАЊЕ:</w:t>
      </w:r>
    </w:p>
    <w:p w14:paraId="084E6D1C"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sz w:val="24"/>
          <w:szCs w:val="24"/>
        </w:rPr>
        <w:t>Во согласност со Регулативата (ЕУ) бр. 1178/2011 на Комисијата и Регулативата (ЕУ) 2015/340 на Комисијата</w:t>
      </w:r>
      <w:hyperlink w:anchor="bookmark11" w:history="1">
        <w:r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vertAlign w:val="superscript"/>
          </w:rPr>
          <w:t>2</w:t>
        </w:r>
        <w:r w:rsidRPr="00D779B0">
          <w:rPr>
            <w:rFonts w:ascii="Times New Roman" w:hAnsi="Times New Roman" w:cs="Times New Roman"/>
            <w:color w:val="000000"/>
            <w:sz w:val="24"/>
            <w:szCs w:val="24"/>
          </w:rPr>
          <w:t>)</w:t>
        </w:r>
      </w:hyperlink>
      <w:r w:rsidRPr="00D779B0">
        <w:rPr>
          <w:rFonts w:ascii="Times New Roman" w:hAnsi="Times New Roman" w:cs="Times New Roman"/>
          <w:color w:val="000000"/>
          <w:sz w:val="24"/>
          <w:szCs w:val="24"/>
        </w:rPr>
        <w:t xml:space="preserve"> </w:t>
      </w:r>
      <w:r w:rsidRPr="00D779B0">
        <w:rPr>
          <w:rFonts w:ascii="Times New Roman" w:hAnsi="Times New Roman" w:cs="Times New Roman"/>
          <w:sz w:val="24"/>
          <w:szCs w:val="24"/>
        </w:rPr>
        <w:t>и врз основа на условите наведени подолу, [надлежниот орган] издава уверение на:</w:t>
      </w:r>
    </w:p>
    <w:p w14:paraId="43BC72F5" w14:textId="77777777" w:rsidR="00330A3B" w:rsidRPr="00D779B0" w:rsidRDefault="006D29A5" w:rsidP="00B06CD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[ИМЕ НА ВОЗДУХОПЛОВНО-МЕДИЦИНСКИОТ ИСПИТУВАЧ]</w:t>
      </w:r>
    </w:p>
    <w:p w14:paraId="2F930C27" w14:textId="77777777" w:rsidR="00330A3B" w:rsidRPr="00D779B0" w:rsidRDefault="006D29A5" w:rsidP="00B06CD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[АДРЕСА(И) НА КАНЦЕЛАРИЈАТА(ИТЕ) НА ВОЗДУХОПЛОВНО-МЕДИЦИНСКИОТ ИСПИТУВАЧ]</w:t>
      </w:r>
    </w:p>
    <w:p w14:paraId="37460444"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како воздухопловно-медицински испитувач</w:t>
      </w:r>
    </w:p>
    <w:p w14:paraId="141E8537"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УСЛОВИ:</w:t>
      </w:r>
    </w:p>
    <w:p w14:paraId="71E940A8" w14:textId="266E0B2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Ова уверение е ограничено на правата наведени во прилогот кон ова уверение за AME;</w:t>
      </w:r>
    </w:p>
    <w:p w14:paraId="1C625748" w14:textId="1B4C064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r>
      <w:r w:rsidRPr="00D779B0">
        <w:rPr>
          <w:rFonts w:ascii="Times New Roman" w:hAnsi="Times New Roman" w:cs="Times New Roman"/>
          <w:sz w:val="24"/>
          <w:szCs w:val="24"/>
        </w:rPr>
        <w:t>Ова уверение бара исполнување на правилата и процедурите за спроведување наведени во Дел-MED/Дел ATCO.MED</w:t>
      </w:r>
      <w:hyperlink w:anchor="bookmark11" w:history="1">
        <w:r w:rsidRPr="00D779B0">
          <w:rPr>
            <w:rFonts w:ascii="Times New Roman" w:hAnsi="Times New Roman" w:cs="Times New Roman"/>
            <w:color w:val="000000"/>
            <w:sz w:val="24"/>
            <w:szCs w:val="24"/>
          </w:rPr>
          <w:t xml:space="preserve"> </w:t>
        </w:r>
      </w:hyperlink>
      <w:r w:rsidRPr="00D779B0">
        <w:rPr>
          <w:rFonts w:ascii="Times New Roman" w:hAnsi="Times New Roman" w:cs="Times New Roman"/>
          <w:color w:val="000000"/>
          <w:sz w:val="24"/>
          <w:szCs w:val="24"/>
        </w:rPr>
        <w:t>(</w:t>
      </w:r>
      <w:r w:rsidR="00B06CDA" w:rsidRPr="00D779B0">
        <w:rPr>
          <w:rStyle w:val="FootnoteReference"/>
          <w:rFonts w:ascii="Times New Roman" w:hAnsi="Times New Roman" w:cs="Times New Roman"/>
          <w:color w:val="000000"/>
          <w:sz w:val="24"/>
          <w:szCs w:val="24"/>
          <w:lang w:val="en-GB"/>
        </w:rPr>
        <w:footnoteReference w:id="9"/>
      </w:r>
      <w:r w:rsidRPr="00D779B0">
        <w:rPr>
          <w:rFonts w:ascii="Times New Roman" w:hAnsi="Times New Roman" w:cs="Times New Roman"/>
          <w:color w:val="000000"/>
          <w:sz w:val="24"/>
          <w:szCs w:val="24"/>
        </w:rPr>
        <w:t>).</w:t>
      </w:r>
    </w:p>
    <w:p w14:paraId="03BB2E84" w14:textId="1185A42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r>
      <w:r w:rsidRPr="00D779B0">
        <w:rPr>
          <w:rFonts w:ascii="Times New Roman" w:hAnsi="Times New Roman" w:cs="Times New Roman"/>
          <w:sz w:val="24"/>
          <w:szCs w:val="24"/>
        </w:rPr>
        <w:t xml:space="preserve">Ова уверение останува важечко од </w:t>
      </w:r>
      <w:r w:rsidRPr="00D779B0">
        <w:rPr>
          <w:rFonts w:ascii="Times New Roman" w:hAnsi="Times New Roman" w:cs="Times New Roman"/>
          <w:color w:val="000000"/>
          <w:sz w:val="24"/>
          <w:szCs w:val="24"/>
        </w:rPr>
        <w:t>[дд/мм/гггг] до [дд/мм/гггг</w:t>
      </w:r>
      <w:hyperlink w:anchor="bookmark12" w:history="1">
        <w:r w:rsidRPr="00D779B0">
          <w:rPr>
            <w:rFonts w:ascii="Times New Roman" w:hAnsi="Times New Roman" w:cs="Times New Roman"/>
            <w:color w:val="000000"/>
            <w:sz w:val="24"/>
            <w:szCs w:val="24"/>
          </w:rPr>
          <w:t xml:space="preserve"> </w:t>
        </w:r>
      </w:hyperlink>
      <w:r w:rsidRPr="00D779B0">
        <w:rPr>
          <w:rFonts w:ascii="Times New Roman" w:hAnsi="Times New Roman" w:cs="Times New Roman"/>
          <w:color w:val="000000"/>
          <w:sz w:val="24"/>
          <w:szCs w:val="24"/>
        </w:rPr>
        <w:t>(</w:t>
      </w:r>
      <w:r w:rsidR="00B06CDA" w:rsidRPr="00D779B0">
        <w:rPr>
          <w:rStyle w:val="FootnoteReference"/>
          <w:rFonts w:ascii="Times New Roman" w:hAnsi="Times New Roman" w:cs="Times New Roman"/>
          <w:color w:val="000000"/>
          <w:sz w:val="24"/>
          <w:szCs w:val="24"/>
          <w:lang w:val="en-GB"/>
        </w:rPr>
        <w:footnoteReference w:id="10"/>
      </w:r>
      <w:r w:rsidRPr="00D779B0">
        <w:rPr>
          <w:rFonts w:ascii="Times New Roman" w:hAnsi="Times New Roman" w:cs="Times New Roman"/>
          <w:color w:val="000000"/>
          <w:sz w:val="24"/>
          <w:szCs w:val="24"/>
        </w:rPr>
        <w:t>)]</w:t>
      </w:r>
      <w:r w:rsidRPr="00D779B0">
        <w:rPr>
          <w:rFonts w:ascii="Times New Roman" w:hAnsi="Times New Roman" w:cs="Times New Roman"/>
          <w:sz w:val="24"/>
          <w:szCs w:val="24"/>
        </w:rPr>
        <w:t xml:space="preserve"> под услов да се исполнат условите од </w:t>
      </w:r>
      <w:r w:rsidRPr="00D779B0">
        <w:rPr>
          <w:rFonts w:ascii="Times New Roman" w:hAnsi="Times New Roman" w:cs="Times New Roman"/>
          <w:color w:val="000000"/>
          <w:sz w:val="24"/>
          <w:szCs w:val="24"/>
        </w:rPr>
        <w:t>Дел-MED/Дел ATCO.MED</w:t>
      </w:r>
      <w:hyperlink w:anchor="bookmark11" w:history="1">
        <w:r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vertAlign w:val="superscript"/>
          </w:rPr>
          <w:t>2</w:t>
        </w:r>
        <w:r w:rsidRPr="00D779B0">
          <w:rPr>
            <w:rFonts w:ascii="Times New Roman" w:hAnsi="Times New Roman" w:cs="Times New Roman"/>
            <w:color w:val="000000"/>
            <w:sz w:val="24"/>
            <w:szCs w:val="24"/>
          </w:rPr>
          <w:t>)</w:t>
        </w:r>
      </w:hyperlink>
      <w:r w:rsidRPr="00D779B0">
        <w:rPr>
          <w:rFonts w:ascii="Times New Roman" w:hAnsi="Times New Roman" w:cs="Times New Roman"/>
          <w:sz w:val="24"/>
          <w:szCs w:val="24"/>
        </w:rPr>
        <w:t xml:space="preserve"> освен ако не е вратено, заменето, суспендирано или одземено.</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0"/>
      </w:tblGrid>
      <w:tr w:rsidR="00B06CDA" w:rsidRPr="00D779B0" w14:paraId="43DCC5EC" w14:textId="77777777" w:rsidTr="006F0F87">
        <w:tc>
          <w:tcPr>
            <w:tcW w:w="4150" w:type="dxa"/>
          </w:tcPr>
          <w:p w14:paraId="24DC2632" w14:textId="77777777" w:rsidR="00B06CDA" w:rsidRPr="00D779B0" w:rsidRDefault="00B06CDA" w:rsidP="006F0F87">
            <w:pPr>
              <w:spacing w:before="120" w:after="120"/>
              <w:jc w:val="both"/>
              <w:rPr>
                <w:rFonts w:ascii="Times New Roman" w:hAnsi="Times New Roman" w:cs="Times New Roman"/>
                <w:sz w:val="24"/>
                <w:szCs w:val="24"/>
              </w:rPr>
            </w:pPr>
            <w:bookmarkStart w:id="4" w:name="bookmark10"/>
            <w:r w:rsidRPr="00D779B0">
              <w:rPr>
                <w:rFonts w:ascii="Times New Roman" w:hAnsi="Times New Roman" w:cs="Times New Roman"/>
                <w:color w:val="000000"/>
                <w:sz w:val="24"/>
                <w:szCs w:val="24"/>
              </w:rPr>
              <w:t>Датум на издавање: дд/мм/гггг</w:t>
            </w:r>
          </w:p>
        </w:tc>
        <w:tc>
          <w:tcPr>
            <w:tcW w:w="4150" w:type="dxa"/>
          </w:tcPr>
          <w:p w14:paraId="2CB200FD" w14:textId="77777777" w:rsidR="00B06CDA" w:rsidRPr="00D779B0" w:rsidRDefault="00B06CDA" w:rsidP="006F0F87">
            <w:pPr>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Потпис: [Надлежен орган]</w:t>
            </w:r>
          </w:p>
        </w:tc>
      </w:tr>
      <w:bookmarkEnd w:id="4"/>
    </w:tbl>
    <w:p w14:paraId="2E9D20FE" w14:textId="77777777" w:rsidR="00B06CDA" w:rsidRPr="00D779B0" w:rsidRDefault="00B06CDA" w:rsidP="00B06CDA">
      <w:pPr>
        <w:widowControl/>
        <w:autoSpaceDE/>
        <w:autoSpaceDN/>
        <w:adjustRightInd/>
        <w:spacing w:after="160" w:line="259" w:lineRule="auto"/>
        <w:jc w:val="both"/>
        <w:rPr>
          <w:rFonts w:ascii="Times New Roman" w:hAnsi="Times New Roman" w:cs="Times New Roman"/>
          <w:color w:val="000000"/>
          <w:sz w:val="24"/>
          <w:szCs w:val="24"/>
        </w:rPr>
      </w:pPr>
      <w:r w:rsidRPr="00D779B0">
        <w:rPr>
          <w:rFonts w:ascii="Times New Roman" w:hAnsi="Times New Roman" w:cs="Times New Roman"/>
          <w:sz w:val="24"/>
          <w:szCs w:val="24"/>
        </w:rPr>
        <w:br w:type="page"/>
      </w:r>
    </w:p>
    <w:p w14:paraId="2C690BAA" w14:textId="3865A5F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Образец 148 на ЕАСА, издание 2</w:t>
      </w:r>
    </w:p>
    <w:p w14:paraId="54F13D2B" w14:textId="77777777" w:rsidR="00330A3B" w:rsidRPr="00D779B0" w:rsidRDefault="006D29A5" w:rsidP="00B06CD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УВЕРЕНИЕ ЗА ВОЗДУХОПЛОВНО-МЕДИЦИНСКИ ИСПИТУВАЧ</w:t>
      </w:r>
    </w:p>
    <w:p w14:paraId="45C46E3E" w14:textId="0E024A7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sz w:val="24"/>
          <w:szCs w:val="24"/>
        </w:rPr>
        <w:t>Прилог (</w:t>
      </w:r>
      <w:r w:rsidR="00B06CDA" w:rsidRPr="00D779B0">
        <w:rPr>
          <w:rStyle w:val="FootnoteReference"/>
          <w:rFonts w:ascii="Times New Roman" w:hAnsi="Times New Roman" w:cs="Times New Roman"/>
          <w:sz w:val="24"/>
          <w:szCs w:val="24"/>
          <w:lang w:val="en-US"/>
        </w:rPr>
        <w:footnoteReference w:id="11"/>
      </w:r>
      <w:r w:rsidRPr="00D779B0">
        <w:rPr>
          <w:rFonts w:ascii="Times New Roman" w:hAnsi="Times New Roman" w:cs="Times New Roman"/>
          <w:sz w:val="24"/>
          <w:szCs w:val="24"/>
        </w:rPr>
        <w:t>) кон уверението за AME со број:</w:t>
      </w:r>
    </w:p>
    <w:p w14:paraId="1BC60F47" w14:textId="77777777" w:rsidR="00330A3B" w:rsidRPr="00D779B0" w:rsidRDefault="006D29A5" w:rsidP="00B06CDA">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color w:val="000000"/>
          <w:sz w:val="24"/>
          <w:szCs w:val="24"/>
        </w:rPr>
        <w:t>ПРАВА И ОПСЕГ</w:t>
      </w:r>
    </w:p>
    <w:p w14:paraId="1844C69A"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[Име и академско звање на воздухопловно-медицинскиот испитувач] го стекнал(а) правото(ата) да врши воздухопловно-медицински прегледи и процени за издавање на уверенија за здравствена способност и медицински извештаи како што е наведено во табелата подолу и да ги издава овие уверенија за здравствена способност и медицински извештаи за:</w:t>
      </w:r>
    </w:p>
    <w:tbl>
      <w:tblPr>
        <w:tblW w:w="0" w:type="auto"/>
        <w:tblInd w:w="40" w:type="dxa"/>
        <w:tblLayout w:type="fixed"/>
        <w:tblCellMar>
          <w:left w:w="40" w:type="dxa"/>
          <w:right w:w="40" w:type="dxa"/>
        </w:tblCellMar>
        <w:tblLook w:val="0000" w:firstRow="0" w:lastRow="0" w:firstColumn="0" w:lastColumn="0" w:noHBand="0" w:noVBand="0"/>
      </w:tblPr>
      <w:tblGrid>
        <w:gridCol w:w="4584"/>
        <w:gridCol w:w="4666"/>
      </w:tblGrid>
      <w:tr w:rsidR="00330A3B" w:rsidRPr="00D779B0" w14:paraId="5ECEBD03" w14:textId="77777777">
        <w:trPr>
          <w:trHeight w:val="360"/>
        </w:trPr>
        <w:tc>
          <w:tcPr>
            <w:tcW w:w="4584" w:type="dxa"/>
            <w:tcBorders>
              <w:top w:val="single" w:sz="6" w:space="0" w:color="auto"/>
              <w:left w:val="nil"/>
              <w:bottom w:val="single" w:sz="6" w:space="0" w:color="auto"/>
              <w:right w:val="single" w:sz="6" w:space="0" w:color="auto"/>
            </w:tcBorders>
            <w:shd w:val="clear" w:color="auto" w:fill="FFFFFF"/>
          </w:tcPr>
          <w:p w14:paraId="2183B114"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Потврдување на важноста/обновување за класа 1</w:t>
            </w:r>
          </w:p>
        </w:tc>
        <w:tc>
          <w:tcPr>
            <w:tcW w:w="4666" w:type="dxa"/>
            <w:tcBorders>
              <w:top w:val="single" w:sz="6" w:space="0" w:color="auto"/>
              <w:left w:val="single" w:sz="6" w:space="0" w:color="auto"/>
              <w:bottom w:val="single" w:sz="6" w:space="0" w:color="auto"/>
              <w:right w:val="nil"/>
            </w:tcBorders>
            <w:shd w:val="clear" w:color="auto" w:fill="FFFFFF"/>
          </w:tcPr>
          <w:p w14:paraId="542D0968"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[со важност до]/[не е применливо]</w:t>
            </w:r>
          </w:p>
        </w:tc>
      </w:tr>
      <w:tr w:rsidR="00330A3B" w:rsidRPr="00D779B0" w14:paraId="71C3116A" w14:textId="77777777">
        <w:trPr>
          <w:trHeight w:val="350"/>
        </w:trPr>
        <w:tc>
          <w:tcPr>
            <w:tcW w:w="4584" w:type="dxa"/>
            <w:tcBorders>
              <w:top w:val="single" w:sz="6" w:space="0" w:color="auto"/>
              <w:left w:val="nil"/>
              <w:bottom w:val="single" w:sz="6" w:space="0" w:color="auto"/>
              <w:right w:val="single" w:sz="6" w:space="0" w:color="auto"/>
            </w:tcBorders>
            <w:shd w:val="clear" w:color="auto" w:fill="FFFFFF"/>
          </w:tcPr>
          <w:p w14:paraId="3C35FAF3"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Првично издавање/повторно потврдување на важноста/обновување за класа 2/LAPL/кабински екипаж</w:t>
            </w:r>
          </w:p>
        </w:tc>
        <w:tc>
          <w:tcPr>
            <w:tcW w:w="4666" w:type="dxa"/>
            <w:tcBorders>
              <w:top w:val="single" w:sz="6" w:space="0" w:color="auto"/>
              <w:left w:val="single" w:sz="6" w:space="0" w:color="auto"/>
              <w:bottom w:val="single" w:sz="6" w:space="0" w:color="auto"/>
              <w:right w:val="nil"/>
            </w:tcBorders>
            <w:shd w:val="clear" w:color="auto" w:fill="FFFFFF"/>
          </w:tcPr>
          <w:p w14:paraId="7DE91477"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[со важност до]</w:t>
            </w:r>
          </w:p>
        </w:tc>
      </w:tr>
      <w:tr w:rsidR="00330A3B" w:rsidRPr="00D779B0" w14:paraId="4475CCF1" w14:textId="77777777">
        <w:trPr>
          <w:trHeight w:val="350"/>
        </w:trPr>
        <w:tc>
          <w:tcPr>
            <w:tcW w:w="4584" w:type="dxa"/>
            <w:tcBorders>
              <w:top w:val="single" w:sz="6" w:space="0" w:color="auto"/>
              <w:left w:val="nil"/>
              <w:bottom w:val="single" w:sz="6" w:space="0" w:color="auto"/>
              <w:right w:val="single" w:sz="6" w:space="0" w:color="auto"/>
            </w:tcBorders>
            <w:shd w:val="clear" w:color="auto" w:fill="FFFFFF"/>
          </w:tcPr>
          <w:p w14:paraId="637FF6D5"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sz w:val="24"/>
                <w:szCs w:val="24"/>
              </w:rPr>
              <w:t>Потврдување на важноста/обновување за класа 3</w:t>
            </w:r>
            <w:hyperlink w:anchor="bookmark14" w:history="1">
              <w:r w:rsidRPr="00D779B0">
                <w:rPr>
                  <w:rFonts w:ascii="Times New Roman" w:hAnsi="Times New Roman" w:cs="Times New Roman"/>
                  <w:color w:val="000000"/>
                  <w:sz w:val="24"/>
                  <w:szCs w:val="24"/>
                </w:rPr>
                <w:t xml:space="preserve"> (</w:t>
              </w:r>
              <w:r w:rsidRPr="00D779B0">
                <w:rPr>
                  <w:rFonts w:ascii="Times New Roman" w:hAnsi="Times New Roman" w:cs="Times New Roman"/>
                  <w:color w:val="000000"/>
                  <w:sz w:val="24"/>
                  <w:szCs w:val="24"/>
                  <w:vertAlign w:val="superscript"/>
                </w:rPr>
                <w:t>1</w:t>
              </w:r>
              <w:r w:rsidRPr="00D779B0">
                <w:rPr>
                  <w:rFonts w:ascii="Times New Roman" w:hAnsi="Times New Roman" w:cs="Times New Roman"/>
                  <w:color w:val="000000"/>
                  <w:sz w:val="24"/>
                  <w:szCs w:val="24"/>
                </w:rPr>
                <w:t>)</w:t>
              </w:r>
            </w:hyperlink>
            <w:bookmarkStart w:id="5" w:name="bookmark13"/>
            <w:bookmarkEnd w:id="5"/>
          </w:p>
        </w:tc>
        <w:tc>
          <w:tcPr>
            <w:tcW w:w="4666" w:type="dxa"/>
            <w:tcBorders>
              <w:top w:val="single" w:sz="6" w:space="0" w:color="auto"/>
              <w:left w:val="single" w:sz="6" w:space="0" w:color="auto"/>
              <w:bottom w:val="single" w:sz="6" w:space="0" w:color="auto"/>
              <w:right w:val="nil"/>
            </w:tcBorders>
            <w:shd w:val="clear" w:color="auto" w:fill="FFFFFF"/>
          </w:tcPr>
          <w:p w14:paraId="3F2D35CD"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[со важност до]/[не е применливо]</w:t>
            </w:r>
          </w:p>
        </w:tc>
      </w:tr>
      <w:tr w:rsidR="00330A3B" w:rsidRPr="00D779B0" w14:paraId="2EA85DFB" w14:textId="77777777">
        <w:trPr>
          <w:trHeight w:val="346"/>
        </w:trPr>
        <w:tc>
          <w:tcPr>
            <w:tcW w:w="9250" w:type="dxa"/>
            <w:gridSpan w:val="2"/>
            <w:tcBorders>
              <w:top w:val="single" w:sz="6" w:space="0" w:color="auto"/>
              <w:left w:val="nil"/>
              <w:bottom w:val="single" w:sz="6" w:space="0" w:color="auto"/>
              <w:right w:val="nil"/>
            </w:tcBorders>
            <w:shd w:val="clear" w:color="auto" w:fill="FFFFFF"/>
          </w:tcPr>
          <w:p w14:paraId="764420B9" w14:textId="0008AF5D" w:rsidR="00330A3B" w:rsidRPr="00D779B0" w:rsidRDefault="00E73A98" w:rsidP="00E80582">
            <w:pPr>
              <w:shd w:val="clear" w:color="auto" w:fill="FFFFFF"/>
              <w:spacing w:before="120" w:after="120"/>
              <w:jc w:val="both"/>
              <w:rPr>
                <w:rFonts w:ascii="Times New Roman" w:hAnsi="Times New Roman" w:cs="Times New Roman"/>
                <w:sz w:val="24"/>
                <w:szCs w:val="24"/>
              </w:rPr>
            </w:pPr>
            <w:hyperlink w:anchor="bookmark13" w:history="1">
              <w:bookmarkStart w:id="6" w:name="bookmark14"/>
              <w:r w:rsidR="004836C5" w:rsidRPr="00D779B0">
                <w:rPr>
                  <w:rFonts w:ascii="Times New Roman" w:hAnsi="Times New Roman" w:cs="Times New Roman"/>
                  <w:color w:val="000000"/>
                  <w:sz w:val="24"/>
                  <w:szCs w:val="24"/>
                </w:rPr>
                <w:t>(</w:t>
              </w:r>
              <w:bookmarkEnd w:id="6"/>
              <w:r w:rsidR="004836C5" w:rsidRPr="00D779B0">
                <w:rPr>
                  <w:rFonts w:ascii="Times New Roman" w:hAnsi="Times New Roman" w:cs="Times New Roman"/>
                  <w:color w:val="000000"/>
                  <w:sz w:val="24"/>
                  <w:szCs w:val="24"/>
                  <w:vertAlign w:val="superscript"/>
                </w:rPr>
                <w:t>1</w:t>
              </w:r>
              <w:r w:rsidR="004836C5" w:rsidRPr="00D779B0">
                <w:rPr>
                  <w:rFonts w:ascii="Times New Roman" w:hAnsi="Times New Roman" w:cs="Times New Roman"/>
                  <w:color w:val="000000"/>
                  <w:sz w:val="24"/>
                  <w:szCs w:val="24"/>
                </w:rPr>
                <w:t>)</w:t>
              </w:r>
            </w:hyperlink>
            <w:r w:rsidR="004836C5" w:rsidRPr="00D779B0">
              <w:rPr>
                <w:rFonts w:ascii="Times New Roman" w:hAnsi="Times New Roman" w:cs="Times New Roman"/>
                <w:sz w:val="24"/>
                <w:szCs w:val="24"/>
              </w:rPr>
              <w:t xml:space="preserve"> Класа 3 се додава само за AME одобрени за вршење на воздухопловно-медицински прегледи од класа 3.</w:t>
            </w:r>
          </w:p>
        </w:tc>
      </w:tr>
    </w:tbl>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0"/>
      </w:tblGrid>
      <w:tr w:rsidR="00B06CDA" w:rsidRPr="00D779B0" w14:paraId="738F6400" w14:textId="77777777" w:rsidTr="00B06CDA">
        <w:tc>
          <w:tcPr>
            <w:tcW w:w="4150" w:type="dxa"/>
          </w:tcPr>
          <w:p w14:paraId="3CDDFE3F" w14:textId="77777777" w:rsidR="00B06CDA" w:rsidRPr="00D779B0" w:rsidRDefault="00B06CDA" w:rsidP="006F0F87">
            <w:pPr>
              <w:spacing w:before="120" w:after="120"/>
              <w:jc w:val="both"/>
              <w:rPr>
                <w:rFonts w:ascii="Times New Roman" w:hAnsi="Times New Roman" w:cs="Times New Roman"/>
                <w:sz w:val="24"/>
                <w:szCs w:val="24"/>
              </w:rPr>
            </w:pPr>
            <w:bookmarkStart w:id="7" w:name="bookmark15"/>
            <w:r w:rsidRPr="00D779B0">
              <w:rPr>
                <w:rFonts w:ascii="Times New Roman" w:hAnsi="Times New Roman" w:cs="Times New Roman"/>
                <w:color w:val="000000"/>
                <w:sz w:val="24"/>
                <w:szCs w:val="24"/>
              </w:rPr>
              <w:t>Датум на издавање: дд/мм/гггг</w:t>
            </w:r>
          </w:p>
        </w:tc>
        <w:tc>
          <w:tcPr>
            <w:tcW w:w="4150" w:type="dxa"/>
          </w:tcPr>
          <w:p w14:paraId="2B6F9AB9" w14:textId="51192716" w:rsidR="00B06CDA" w:rsidRPr="00D779B0" w:rsidRDefault="00B06CDA" w:rsidP="006F0F87">
            <w:pPr>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Потпис: [Надлежен орган]“.</w:t>
            </w:r>
          </w:p>
        </w:tc>
      </w:tr>
      <w:bookmarkEnd w:id="7"/>
    </w:tbl>
    <w:p w14:paraId="6A0FC063" w14:textId="77777777" w:rsidR="00B06CDA" w:rsidRPr="00D779B0" w:rsidRDefault="00B06CDA" w:rsidP="00B06CDA">
      <w:pPr>
        <w:widowControl/>
        <w:autoSpaceDE/>
        <w:autoSpaceDN/>
        <w:adjustRightInd/>
        <w:spacing w:after="160" w:line="259" w:lineRule="auto"/>
        <w:jc w:val="both"/>
        <w:rPr>
          <w:rFonts w:ascii="Times New Roman" w:hAnsi="Times New Roman" w:cs="Times New Roman"/>
          <w:color w:val="000000"/>
          <w:sz w:val="24"/>
          <w:szCs w:val="24"/>
        </w:rPr>
      </w:pPr>
      <w:r w:rsidRPr="00D779B0">
        <w:rPr>
          <w:rFonts w:ascii="Times New Roman" w:hAnsi="Times New Roman" w:cs="Times New Roman"/>
          <w:sz w:val="24"/>
          <w:szCs w:val="24"/>
        </w:rPr>
        <w:br w:type="page"/>
      </w:r>
    </w:p>
    <w:p w14:paraId="2C0B1F05" w14:textId="2660C91A" w:rsidR="00330A3B" w:rsidRPr="00D779B0" w:rsidRDefault="006D29A5" w:rsidP="00B06CDA">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lastRenderedPageBreak/>
        <w:t>АНЕКС IV</w:t>
      </w:r>
    </w:p>
    <w:p w14:paraId="41B1DDEE" w14:textId="3F1911B9"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 xml:space="preserve">Измени на Анекс VII (Дел-ORA) </w:t>
      </w:r>
      <w:r w:rsidR="00D45155">
        <w:rPr>
          <w:rFonts w:ascii="Times New Roman" w:hAnsi="Times New Roman" w:cs="Times New Roman"/>
          <w:b/>
          <w:color w:val="000000"/>
          <w:sz w:val="24"/>
          <w:szCs w:val="24"/>
        </w:rPr>
        <w:t>кон Регулативата</w:t>
      </w:r>
      <w:r w:rsidRPr="00D779B0">
        <w:rPr>
          <w:rFonts w:ascii="Times New Roman" w:hAnsi="Times New Roman" w:cs="Times New Roman"/>
          <w:b/>
          <w:color w:val="000000"/>
          <w:sz w:val="24"/>
          <w:szCs w:val="24"/>
        </w:rPr>
        <w:t xml:space="preserve"> (ЕУ) бр. 1178/2011</w:t>
      </w:r>
    </w:p>
    <w:p w14:paraId="5F9BC881"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Анекс VII се изменува како што следува:</w:t>
      </w:r>
    </w:p>
    <w:p w14:paraId="7667DCEB" w14:textId="125FD8B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точка ORA.FSTD.225 се изменува како што следува:</w:t>
      </w:r>
    </w:p>
    <w:p w14:paraId="09931E55" w14:textId="61AAFA8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точка (а) се изменува како што следува:</w:t>
      </w:r>
    </w:p>
    <w:p w14:paraId="6BFF5933" w14:textId="63AD066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воведната фраза се заменува со следново:</w:t>
      </w:r>
    </w:p>
    <w:p w14:paraId="3E0DEDD1"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„Уверението за квалификација за FSTD останува со важност под следниве услови:“;</w:t>
      </w:r>
    </w:p>
    <w:p w14:paraId="3769412B" w14:textId="486BB02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точка 2 се заменува со следново:</w:t>
      </w:r>
    </w:p>
    <w:p w14:paraId="5BF5EB15" w14:textId="39490CE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на надлежниот орган му се дава пристап до организацијата како што е дефинирано во точка ORA.GEN.140 за да утврди континуирано исполнување на со релевантните услови од Регулативата (ЕУ) 2018/1139 и актите за спроведување и делегираните акти донесени врз основа на неа;“;</w:t>
      </w:r>
    </w:p>
    <w:p w14:paraId="04486404" w14:textId="5BDC5ED3"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точките (б) и (в) се заменуваат со следново:</w:t>
      </w:r>
    </w:p>
    <w:p w14:paraId="6831A9B1" w14:textId="3C240DF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Доколку надлежниот орган го продолжил периодот на периодична оцена на FSTD во согласност со точка ARA.FSTD.120(в) од Анекс VI (Дел-ARA), организацијата назначува лице или група на лица со соодветно искуство кои прават сѐ од следново во период од 60 дена пред и 30 дена по започнувањето на секој периодичен 12-месечен период во согласност со ARA.FSTD.120 (б)(1) од Анекс VI:</w:t>
      </w:r>
    </w:p>
    <w:p w14:paraId="5447ED00" w14:textId="07E4D50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прави преглед на редовното повторување на целосниот збир на тестови во главниот QTG;</w:t>
      </w:r>
    </w:p>
    <w:p w14:paraId="665C02F2" w14:textId="3FC9BFE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0002435F">
        <w:rPr>
          <w:rFonts w:ascii="Times New Roman" w:hAnsi="Times New Roman" w:cs="Times New Roman"/>
          <w:color w:val="000000"/>
          <w:sz w:val="24"/>
          <w:szCs w:val="24"/>
        </w:rPr>
        <w:tab/>
      </w:r>
      <w:r w:rsidRPr="00D779B0">
        <w:rPr>
          <w:rFonts w:ascii="Times New Roman" w:hAnsi="Times New Roman" w:cs="Times New Roman"/>
          <w:color w:val="000000"/>
          <w:sz w:val="24"/>
          <w:szCs w:val="24"/>
        </w:rPr>
        <w:t>ги спроведува релевантните функции и субјективни тестови;</w:t>
      </w:r>
    </w:p>
    <w:p w14:paraId="72E9F7F8" w14:textId="0A27DA3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испраќа извештај со резултатите до надлежниот орган.</w:t>
      </w:r>
    </w:p>
    <w:p w14:paraId="14DAE12E" w14:textId="7FDACB8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w:t>
      </w:r>
      <w:r w:rsidRPr="00D779B0">
        <w:rPr>
          <w:rFonts w:ascii="Times New Roman" w:hAnsi="Times New Roman" w:cs="Times New Roman"/>
          <w:color w:val="000000"/>
          <w:sz w:val="24"/>
          <w:szCs w:val="24"/>
        </w:rPr>
        <w:tab/>
        <w:t>Квалификацијата за BITD останува со важност под услов надлежниот орган да спроведува редовна оцена на усогласеноста со применливата основа за квалификација во согласност со точка ARA.FSTD.120 од Анекс VI.“;</w:t>
      </w:r>
    </w:p>
    <w:p w14:paraId="2BFD4D65" w14:textId="1C5F674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точка ORA.AeMC.105 се заменува со следново:</w:t>
      </w:r>
    </w:p>
    <w:p w14:paraId="2F8EF190" w14:textId="6FF8939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„ORA.AeMC.105</w:t>
      </w:r>
      <w:r w:rsidRPr="00D779B0">
        <w:rPr>
          <w:rFonts w:ascii="Times New Roman" w:hAnsi="Times New Roman" w:cs="Times New Roman"/>
          <w:b/>
          <w:color w:val="000000"/>
          <w:sz w:val="24"/>
          <w:szCs w:val="24"/>
        </w:rPr>
        <w:tab/>
        <w:t>Опсег</w:t>
      </w:r>
    </w:p>
    <w:p w14:paraId="19D5DAEF" w14:textId="39D39E4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 xml:space="preserve">Во </w:t>
      </w:r>
      <w:r w:rsidR="00D45155">
        <w:rPr>
          <w:rFonts w:ascii="Times New Roman" w:hAnsi="Times New Roman" w:cs="Times New Roman"/>
          <w:color w:val="000000"/>
          <w:sz w:val="24"/>
          <w:szCs w:val="24"/>
        </w:rPr>
        <w:t>овој поддел</w:t>
      </w:r>
      <w:r w:rsidRPr="00D779B0">
        <w:rPr>
          <w:rFonts w:ascii="Times New Roman" w:hAnsi="Times New Roman" w:cs="Times New Roman"/>
          <w:color w:val="000000"/>
          <w:sz w:val="24"/>
          <w:szCs w:val="24"/>
        </w:rPr>
        <w:t xml:space="preserve"> се утврдуваат дополнителните услови кои ги исполнува организација за да се квалификува за издавање или продолжување на одобрение за воздухопловно-медицински центар (AeMC) за:</w:t>
      </w:r>
    </w:p>
    <w:p w14:paraId="3C3CD073" w14:textId="797CD69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да обезбедува воздухопловно-медицинска експертиза и практична обука за АМЕ;</w:t>
      </w:r>
    </w:p>
    <w:p w14:paraId="0415AC84" w14:textId="066C5E8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sz w:val="24"/>
          <w:szCs w:val="24"/>
        </w:rPr>
        <w:lastRenderedPageBreak/>
        <w:t>(б)</w:t>
      </w:r>
      <w:r w:rsidRPr="00D779B0">
        <w:rPr>
          <w:rFonts w:ascii="Times New Roman" w:hAnsi="Times New Roman" w:cs="Times New Roman"/>
          <w:sz w:val="24"/>
          <w:szCs w:val="24"/>
        </w:rPr>
        <w:tab/>
        <w:t xml:space="preserve">издава уверенија за здравствена способност и медицински извештаи на кабински екипаж, </w:t>
      </w:r>
      <w:r w:rsidR="00C31894">
        <w:rPr>
          <w:rFonts w:ascii="Times New Roman" w:hAnsi="Times New Roman" w:cs="Times New Roman"/>
          <w:color w:val="000000"/>
          <w:sz w:val="24"/>
          <w:szCs w:val="24"/>
        </w:rPr>
        <w:t xml:space="preserve">вклучително </w:t>
      </w:r>
      <w:r w:rsidRPr="00D779B0">
        <w:rPr>
          <w:rFonts w:ascii="Times New Roman" w:hAnsi="Times New Roman" w:cs="Times New Roman"/>
          <w:sz w:val="24"/>
          <w:szCs w:val="24"/>
        </w:rPr>
        <w:t>и првични уверенија за здравствена способност од класа 1, или уверенија за здравствена способност од класа 3 во согласност со Регулативата (ЕУ) 2015/340 на Комисијата</w:t>
      </w:r>
      <w:hyperlink w:anchor="bookmark16" w:history="1">
        <w:r w:rsidRPr="00D779B0">
          <w:rPr>
            <w:rFonts w:ascii="Times New Roman" w:hAnsi="Times New Roman" w:cs="Times New Roman"/>
            <w:color w:val="000000"/>
            <w:sz w:val="24"/>
            <w:szCs w:val="24"/>
          </w:rPr>
          <w:t xml:space="preserve"> (*)</w:t>
        </w:r>
      </w:hyperlink>
      <w:r w:rsidRPr="00D779B0">
        <w:rPr>
          <w:rFonts w:ascii="Times New Roman" w:hAnsi="Times New Roman" w:cs="Times New Roman"/>
          <w:sz w:val="24"/>
          <w:szCs w:val="24"/>
        </w:rPr>
        <w:t>, или и двете, како што е применливо.</w:t>
      </w:r>
    </w:p>
    <w:p w14:paraId="4E87E42C"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bookmarkStart w:id="8" w:name="bookmark16"/>
      <w:bookmarkEnd w:id="8"/>
      <w:r w:rsidRPr="00D779B0">
        <w:rPr>
          <w:rFonts w:ascii="Times New Roman" w:hAnsi="Times New Roman" w:cs="Times New Roman"/>
          <w:color w:val="000000"/>
          <w:sz w:val="24"/>
          <w:szCs w:val="24"/>
        </w:rPr>
        <w:t>___________</w:t>
      </w:r>
    </w:p>
    <w:p w14:paraId="4E4949DE" w14:textId="17870A4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w:t>
      </w:r>
      <w:r w:rsidRPr="00D779B0">
        <w:rPr>
          <w:rFonts w:ascii="Times New Roman" w:hAnsi="Times New Roman" w:cs="Times New Roman"/>
          <w:color w:val="000000"/>
          <w:sz w:val="24"/>
          <w:szCs w:val="24"/>
        </w:rPr>
        <w:tab/>
      </w:r>
      <w:r w:rsidRPr="00D779B0">
        <w:rPr>
          <w:rFonts w:ascii="Times New Roman" w:hAnsi="Times New Roman" w:cs="Times New Roman"/>
          <w:sz w:val="24"/>
          <w:szCs w:val="24"/>
        </w:rPr>
        <w:t xml:space="preserve">Регулатива (ЕУ) 2015/340 на Комисијата од 20 февруари 2015 година за утврдување на технички услови и административни постапки коишто се однесуваат на дозволите и уверенијата на контролорите на летање согласно Регулативата (ЕЗ) бр. 216/2008 на Европскиот парламент и на Советот, за изменување </w:t>
      </w:r>
      <w:r w:rsidR="00D45155">
        <w:rPr>
          <w:rFonts w:ascii="Times New Roman" w:hAnsi="Times New Roman" w:cs="Times New Roman"/>
          <w:sz w:val="24"/>
          <w:szCs w:val="24"/>
        </w:rPr>
        <w:t>кон Регулативата</w:t>
      </w:r>
      <w:r w:rsidRPr="00D779B0">
        <w:rPr>
          <w:rFonts w:ascii="Times New Roman" w:hAnsi="Times New Roman" w:cs="Times New Roman"/>
          <w:sz w:val="24"/>
          <w:szCs w:val="24"/>
        </w:rPr>
        <w:t xml:space="preserve"> за спроведување (ЕУ) бр. 923/2012 на Комисијата и за укинување </w:t>
      </w:r>
      <w:r w:rsidR="00D45155">
        <w:rPr>
          <w:rFonts w:ascii="Times New Roman" w:hAnsi="Times New Roman" w:cs="Times New Roman"/>
          <w:sz w:val="24"/>
          <w:szCs w:val="24"/>
        </w:rPr>
        <w:t>кон Регулативата</w:t>
      </w:r>
      <w:r w:rsidRPr="00D779B0">
        <w:rPr>
          <w:rFonts w:ascii="Times New Roman" w:hAnsi="Times New Roman" w:cs="Times New Roman"/>
          <w:sz w:val="24"/>
          <w:szCs w:val="24"/>
        </w:rPr>
        <w:t xml:space="preserve"> (ЕУ) бр. 805/2011 на Комисијата (</w:t>
      </w:r>
      <w:r w:rsidR="00C74D50">
        <w:rPr>
          <w:rFonts w:ascii="Times New Roman" w:hAnsi="Times New Roman" w:cs="Times New Roman"/>
          <w:sz w:val="24"/>
          <w:szCs w:val="24"/>
        </w:rPr>
        <w:t>Сл. весник</w:t>
      </w:r>
      <w:r w:rsidRPr="00D779B0">
        <w:rPr>
          <w:rFonts w:ascii="Times New Roman" w:hAnsi="Times New Roman" w:cs="Times New Roman"/>
          <w:sz w:val="24"/>
          <w:szCs w:val="24"/>
        </w:rPr>
        <w:t xml:space="preserve"> L 63, 6.3.2015 година, стр. 1, ELI: http://data.europa.eu/eli/reg/2015/340/oj).“</w:t>
      </w:r>
    </w:p>
    <w:p w14:paraId="6CA3BA57" w14:textId="3BC875F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(3)</w:t>
      </w:r>
      <w:r w:rsidRPr="00D779B0">
        <w:rPr>
          <w:rFonts w:ascii="Times New Roman" w:hAnsi="Times New Roman" w:cs="Times New Roman"/>
          <w:color w:val="000000"/>
          <w:sz w:val="24"/>
          <w:szCs w:val="24"/>
        </w:rPr>
        <w:tab/>
        <w:t>во точка ORA.AeMC.115, точка (б) се заменува со следново:</w:t>
      </w:r>
    </w:p>
    <w:p w14:paraId="60307CA3" w14:textId="51AC1A4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дополнително на документацијата за одобрение на организација што се бара во точка ORA.GEN.115, се доставуваат детали за активностите кои се договорени со определени болници или медицински институти за целите на специјалистички медицински прегледи.“;</w:t>
      </w:r>
    </w:p>
    <w:p w14:paraId="3F2A5BBF" w14:textId="3292BE3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(4)</w:t>
      </w:r>
      <w:r w:rsidRPr="00D779B0">
        <w:rPr>
          <w:rFonts w:ascii="Times New Roman" w:hAnsi="Times New Roman" w:cs="Times New Roman"/>
          <w:color w:val="000000"/>
          <w:sz w:val="24"/>
          <w:szCs w:val="24"/>
        </w:rPr>
        <w:tab/>
        <w:t>се вметнува следнава точка ORA.AeMC.120:</w:t>
      </w:r>
    </w:p>
    <w:p w14:paraId="570E82C1" w14:textId="1DFB509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„ORA.AeMC.120</w:t>
      </w:r>
      <w:r w:rsidRPr="00D779B0">
        <w:rPr>
          <w:rFonts w:ascii="Times New Roman" w:hAnsi="Times New Roman" w:cs="Times New Roman"/>
          <w:b/>
          <w:color w:val="000000"/>
          <w:sz w:val="24"/>
          <w:szCs w:val="24"/>
        </w:rPr>
        <w:tab/>
        <w:t>Уверение за AeMC</w:t>
      </w:r>
    </w:p>
    <w:p w14:paraId="62BB142E"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Организација која поседува уверение за AeMC не, во секое време, поседува повеќе од едно уверение за AeMC издадено со ист опсег во согласност со Регулативата (ЕУ) 2018/1139 и актите за спроведување и делегираните акти донесени врз основа на неа.“;</w:t>
      </w:r>
    </w:p>
    <w:p w14:paraId="3E022265" w14:textId="54BBFD3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(5)</w:t>
      </w:r>
      <w:r w:rsidRPr="00D779B0">
        <w:rPr>
          <w:rFonts w:ascii="Times New Roman" w:hAnsi="Times New Roman" w:cs="Times New Roman"/>
          <w:color w:val="000000"/>
          <w:sz w:val="24"/>
          <w:szCs w:val="24"/>
        </w:rPr>
        <w:tab/>
        <w:t>точка ORA.AeMC.135 се заменува со следново:</w:t>
      </w:r>
    </w:p>
    <w:p w14:paraId="72EE55EE" w14:textId="319FF9F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„ORA.AeMC.135</w:t>
      </w:r>
      <w:r w:rsidRPr="00D779B0">
        <w:rPr>
          <w:rFonts w:ascii="Times New Roman" w:hAnsi="Times New Roman" w:cs="Times New Roman"/>
          <w:b/>
          <w:color w:val="000000"/>
          <w:sz w:val="24"/>
          <w:szCs w:val="24"/>
        </w:rPr>
        <w:tab/>
        <w:t>Продолжена важност</w:t>
      </w:r>
    </w:p>
    <w:p w14:paraId="3C63721D"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Уверението за AeMC се издава за неограничено времетраење. Останува со важност под услов имателот и воздухопловно-медицинските испитувачи на организацијата да ги исполнуваат следниве услови:</w:t>
      </w:r>
    </w:p>
    <w:p w14:paraId="4E1D96AE" w14:textId="33A1488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 xml:space="preserve">исполнување на точка MED.D.030 од Анекс IV (Дел-MED) кон </w:t>
      </w:r>
      <w:r w:rsidR="00C74D50">
        <w:rPr>
          <w:rFonts w:ascii="Times New Roman" w:hAnsi="Times New Roman" w:cs="Times New Roman"/>
          <w:color w:val="000000"/>
          <w:sz w:val="24"/>
          <w:szCs w:val="24"/>
        </w:rPr>
        <w:t>оваа регулатива</w:t>
      </w:r>
      <w:r w:rsidRPr="00D779B0">
        <w:rPr>
          <w:rFonts w:ascii="Times New Roman" w:hAnsi="Times New Roman" w:cs="Times New Roman"/>
          <w:color w:val="000000"/>
          <w:sz w:val="24"/>
          <w:szCs w:val="24"/>
        </w:rPr>
        <w:t xml:space="preserve"> или точка ATCO.MED.C.025 од Анекс IV (Дел-ATCO.MED)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2015/340, како што е применливо;</w:t>
      </w:r>
    </w:p>
    <w:p w14:paraId="602A6A60" w14:textId="7DCC656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осигурување на нивно континуирано искуство преку вршење на соодветен број на медицински прегледи од класа 1, или медицински прегледи од класа 3 во согласност со Регулативата (ЕУ) 2015/340, или еквивалентни воени воздухопловно-медицински прегледи, како што е соодветно, секоја година.“;</w:t>
      </w:r>
    </w:p>
    <w:p w14:paraId="3F21F4CB" w14:textId="77777777" w:rsidR="00B06CDA" w:rsidRPr="00D779B0" w:rsidRDefault="006D29A5" w:rsidP="00E80582">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(6)</w:t>
      </w:r>
      <w:r w:rsidRPr="00D779B0">
        <w:rPr>
          <w:rFonts w:ascii="Times New Roman" w:hAnsi="Times New Roman" w:cs="Times New Roman"/>
          <w:color w:val="000000"/>
          <w:sz w:val="24"/>
          <w:szCs w:val="24"/>
        </w:rPr>
        <w:tab/>
        <w:t>се вметнува следнава точка ORA.AeMC.160:</w:t>
      </w:r>
    </w:p>
    <w:p w14:paraId="563FC48F" w14:textId="16951DC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w:t>
      </w:r>
      <w:r w:rsidRPr="00D779B0">
        <w:rPr>
          <w:rFonts w:ascii="Times New Roman" w:hAnsi="Times New Roman" w:cs="Times New Roman"/>
          <w:b/>
          <w:color w:val="000000"/>
          <w:sz w:val="24"/>
          <w:szCs w:val="24"/>
        </w:rPr>
        <w:t>ORA.AeMC.160</w:t>
      </w:r>
      <w:r w:rsidRPr="00D779B0">
        <w:rPr>
          <w:rFonts w:ascii="Times New Roman" w:hAnsi="Times New Roman" w:cs="Times New Roman"/>
          <w:b/>
          <w:color w:val="000000"/>
          <w:sz w:val="24"/>
          <w:szCs w:val="24"/>
        </w:rPr>
        <w:tab/>
        <w:t>Известување</w:t>
      </w:r>
    </w:p>
    <w:p w14:paraId="67647A10" w14:textId="4D68E06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 xml:space="preserve">AeMC му доставува на надлежниот орган статистички извештаи во врска со воздухопловно-медицинските процени на кандидатите, </w:t>
      </w:r>
      <w:r w:rsidR="00C31894">
        <w:rPr>
          <w:rFonts w:ascii="Times New Roman" w:hAnsi="Times New Roman" w:cs="Times New Roman"/>
          <w:color w:val="000000"/>
          <w:sz w:val="24"/>
          <w:szCs w:val="24"/>
        </w:rPr>
        <w:t xml:space="preserve">вклучително и </w:t>
      </w:r>
      <w:r w:rsidRPr="00D779B0">
        <w:rPr>
          <w:rFonts w:ascii="Times New Roman" w:hAnsi="Times New Roman" w:cs="Times New Roman"/>
          <w:color w:val="000000"/>
          <w:sz w:val="24"/>
          <w:szCs w:val="24"/>
        </w:rPr>
        <w:t>извештаи за прегледи за дрога и алкохол извршени во согласност со точка MED.B.055(б) од Анекс IV (Дел-MED) и сите фактори или трендови на ризик по здравјето утврдени за време на воздухопловно-медицинските процени.“;</w:t>
      </w:r>
    </w:p>
    <w:p w14:paraId="14ABA908" w14:textId="2ECABC0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(7)</w:t>
      </w:r>
      <w:r w:rsidRPr="00D779B0">
        <w:rPr>
          <w:rFonts w:ascii="Times New Roman" w:hAnsi="Times New Roman" w:cs="Times New Roman"/>
          <w:color w:val="000000"/>
          <w:sz w:val="24"/>
          <w:szCs w:val="24"/>
        </w:rPr>
        <w:tab/>
        <w:t>точка ORA.AeMC.200 се изменува како што следува:</w:t>
      </w:r>
    </w:p>
    <w:p w14:paraId="18805CFE" w14:textId="069CC88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(a)</w:t>
      </w:r>
      <w:r w:rsidRPr="00D779B0">
        <w:rPr>
          <w:rFonts w:ascii="Times New Roman" w:hAnsi="Times New Roman" w:cs="Times New Roman"/>
          <w:color w:val="000000"/>
          <w:sz w:val="24"/>
          <w:szCs w:val="24"/>
        </w:rPr>
        <w:tab/>
        <w:t>точка (а) се заменува со следново:</w:t>
      </w:r>
    </w:p>
    <w:p w14:paraId="0F7C41E3" w14:textId="3C061BF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за издавање на уверенија за здравствена способност во согласност со Дел-MED;“;</w:t>
      </w:r>
    </w:p>
    <w:p w14:paraId="2CF84B20" w14:textId="1E021D6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се вметнува следнава точка (аа):</w:t>
      </w:r>
    </w:p>
    <w:p w14:paraId="4C66E42A" w14:textId="563CBAD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„(аа)</w:t>
      </w:r>
      <w:r w:rsidRPr="00D779B0">
        <w:rPr>
          <w:rFonts w:ascii="Times New Roman" w:hAnsi="Times New Roman" w:cs="Times New Roman"/>
          <w:color w:val="000000"/>
          <w:sz w:val="24"/>
          <w:szCs w:val="24"/>
        </w:rPr>
        <w:tab/>
        <w:t>да се олесни соработката помеѓу AME и други медицински експерти на AeMC; и“;</w:t>
      </w:r>
    </w:p>
    <w:p w14:paraId="224BFB6C" w14:textId="1379DF3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(8)</w:t>
      </w:r>
      <w:r w:rsidRPr="00D779B0">
        <w:rPr>
          <w:rFonts w:ascii="Times New Roman" w:hAnsi="Times New Roman" w:cs="Times New Roman"/>
          <w:color w:val="000000"/>
          <w:sz w:val="24"/>
          <w:szCs w:val="24"/>
        </w:rPr>
        <w:tab/>
        <w:t>се вметнува следнава точка ORA.AeMC.205:</w:t>
      </w:r>
    </w:p>
    <w:p w14:paraId="57F921BE" w14:textId="1C8872D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„ORA.AeMC.205</w:t>
      </w:r>
      <w:r w:rsidRPr="00D779B0">
        <w:rPr>
          <w:rFonts w:ascii="Times New Roman" w:hAnsi="Times New Roman" w:cs="Times New Roman"/>
          <w:b/>
          <w:color w:val="000000"/>
          <w:sz w:val="24"/>
          <w:szCs w:val="24"/>
        </w:rPr>
        <w:tab/>
        <w:t>Договорени активности</w:t>
      </w:r>
    </w:p>
    <w:p w14:paraId="0B90691E"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И покрај точка ORA.GEN.205, се применува сѐ од следново:</w:t>
      </w:r>
    </w:p>
    <w:p w14:paraId="3E1D5760" w14:textId="22E6F590"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минимум потребни воздухопловно-медицински прегледи се вршат во организацијата на AeMC, во согласност со опсегот и правата дефинирани во условите за одобрение приложени кон уверението за AeMC;</w:t>
      </w:r>
    </w:p>
    <w:p w14:paraId="06ADCF8D" w14:textId="4B74A19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дополнителни медицински прегледи и испитувања може да се вршат од договорени поединечни експерти или организации. Организацијата осигурува дека кога склучува договор за </w:t>
      </w:r>
      <w:r w:rsidR="00D33DE6" w:rsidRPr="00D779B0">
        <w:rPr>
          <w:rFonts w:ascii="Times New Roman" w:hAnsi="Times New Roman" w:cs="Times New Roman"/>
          <w:color w:val="000000"/>
          <w:sz w:val="24"/>
          <w:szCs w:val="24"/>
        </w:rPr>
        <w:t xml:space="preserve">кој било </w:t>
      </w:r>
      <w:r w:rsidRPr="00D779B0">
        <w:rPr>
          <w:rFonts w:ascii="Times New Roman" w:hAnsi="Times New Roman" w:cs="Times New Roman"/>
          <w:color w:val="000000"/>
          <w:sz w:val="24"/>
          <w:szCs w:val="24"/>
        </w:rPr>
        <w:t>дел од нејзината активност, договорената услуга или производ е во согласност со применливите услови.“;</w:t>
      </w:r>
    </w:p>
    <w:p w14:paraId="5500073F" w14:textId="643F97F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(9)</w:t>
      </w:r>
      <w:r w:rsidRPr="00D779B0">
        <w:rPr>
          <w:rFonts w:ascii="Times New Roman" w:hAnsi="Times New Roman" w:cs="Times New Roman"/>
          <w:color w:val="000000"/>
          <w:sz w:val="24"/>
          <w:szCs w:val="24"/>
        </w:rPr>
        <w:tab/>
        <w:t>точка ORA.AeMC.210 се заменува со следново:</w:t>
      </w:r>
    </w:p>
    <w:p w14:paraId="7D22F079" w14:textId="4726192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color w:val="000000"/>
          <w:sz w:val="24"/>
          <w:szCs w:val="24"/>
        </w:rPr>
        <w:t>„ORA.AeMC.210</w:t>
      </w:r>
      <w:r w:rsidRPr="00D779B0">
        <w:rPr>
          <w:rFonts w:ascii="Times New Roman" w:hAnsi="Times New Roman" w:cs="Times New Roman"/>
          <w:b/>
          <w:color w:val="000000"/>
          <w:sz w:val="24"/>
          <w:szCs w:val="24"/>
        </w:rPr>
        <w:tab/>
        <w:t>Услови за персонал</w:t>
      </w:r>
    </w:p>
    <w:p w14:paraId="40704413" w14:textId="5467C1B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004B53AD">
        <w:rPr>
          <w:rFonts w:ascii="Times New Roman" w:hAnsi="Times New Roman" w:cs="Times New Roman"/>
          <w:color w:val="000000"/>
          <w:sz w:val="24"/>
          <w:szCs w:val="24"/>
        </w:rPr>
        <w:tab/>
      </w:r>
      <w:r w:rsidRPr="00D779B0">
        <w:rPr>
          <w:rFonts w:ascii="Times New Roman" w:hAnsi="Times New Roman" w:cs="Times New Roman"/>
          <w:color w:val="000000"/>
          <w:sz w:val="24"/>
          <w:szCs w:val="24"/>
        </w:rPr>
        <w:t>AeMC како персонал има:</w:t>
      </w:r>
    </w:p>
    <w:p w14:paraId="2DF058F5" w14:textId="4FB14F6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воздухопловно-медицински испитувач (AME) номиниран за раководител на AeMC, со права да издава уверенија за здравствена способност од класа 1, или уверенија за здравствена способност од класа 3 во согласност со Регулативата (ЕУ) 2015/340, како што е применливо, во согласност со опсегот дефиниран во условите на одобрението приложено кон уверението за AeMC и доволно искуство во воздухопловната медицина за извршување на неговите или нејзините должности;</w:t>
      </w:r>
    </w:p>
    <w:p w14:paraId="7891707D" w14:textId="2B80967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еден дополнителен квалификуван AME со права да издава уверенија за здравствена способност од класа 1, или уверенија за здравствена способност од класа 3 во согласност со Регулативата (ЕУ) 2015/340, како што е применливо, во согласност со опсегот дефиниран во условите на одобрението приложено кон правата за уверението за AeMC и друг технички персонал;</w:t>
      </w:r>
    </w:p>
    <w:p w14:paraId="7E95622B" w14:textId="7396AF8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lastRenderedPageBreak/>
        <w:t>(3)</w:t>
      </w:r>
      <w:r w:rsidRPr="00D779B0">
        <w:rPr>
          <w:rFonts w:ascii="Times New Roman" w:hAnsi="Times New Roman" w:cs="Times New Roman"/>
          <w:color w:val="000000"/>
          <w:sz w:val="24"/>
          <w:szCs w:val="24"/>
        </w:rPr>
        <w:tab/>
        <w:t>достапни медицински експерти.</w:t>
      </w:r>
    </w:p>
    <w:p w14:paraId="43E40814" w14:textId="70AD5AD8"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Раководителот на AeMC е одговорен за:</w:t>
      </w:r>
    </w:p>
    <w:p w14:paraId="1E16B5DE" w14:textId="51205CD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координирање на процената на резултатите од прегледите;</w:t>
      </w:r>
    </w:p>
    <w:p w14:paraId="684BCDE1" w14:textId="7508EAB1"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потпишување на извештаи, уверенија и првични уверенија за здравствена способност од класа 1 и уверенија за здравствена способност од класа 3 во согласност со Регулативата (ЕУ) 2015/340.“.</w:t>
      </w:r>
    </w:p>
    <w:p w14:paraId="4B1847E5" w14:textId="77777777" w:rsidR="00864575" w:rsidRPr="00D779B0" w:rsidRDefault="00864575">
      <w:pPr>
        <w:widowControl/>
        <w:autoSpaceDE/>
        <w:autoSpaceDN/>
        <w:adjustRightInd/>
        <w:spacing w:after="160" w:line="259" w:lineRule="auto"/>
        <w:rPr>
          <w:rFonts w:ascii="Times New Roman" w:hAnsi="Times New Roman" w:cs="Times New Roman"/>
          <w:color w:val="000000"/>
          <w:sz w:val="24"/>
          <w:szCs w:val="24"/>
        </w:rPr>
      </w:pPr>
      <w:r w:rsidRPr="00D779B0">
        <w:rPr>
          <w:rFonts w:ascii="Times New Roman" w:hAnsi="Times New Roman" w:cs="Times New Roman"/>
          <w:sz w:val="24"/>
          <w:szCs w:val="24"/>
        </w:rPr>
        <w:br w:type="page"/>
      </w:r>
    </w:p>
    <w:p w14:paraId="3F260E79" w14:textId="1B9F58A4" w:rsidR="00330A3B" w:rsidRPr="00D779B0" w:rsidRDefault="006D29A5" w:rsidP="00864575">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i/>
          <w:iCs/>
          <w:color w:val="000000"/>
          <w:sz w:val="24"/>
          <w:szCs w:val="24"/>
        </w:rPr>
        <w:lastRenderedPageBreak/>
        <w:t>АНЕКС</w:t>
      </w:r>
      <w:r w:rsidRPr="00D779B0">
        <w:rPr>
          <w:rFonts w:ascii="Times New Roman" w:hAnsi="Times New Roman" w:cs="Times New Roman"/>
          <w:color w:val="000000"/>
          <w:sz w:val="24"/>
          <w:szCs w:val="24"/>
        </w:rPr>
        <w:t xml:space="preserve"> V</w:t>
      </w:r>
    </w:p>
    <w:p w14:paraId="32061AB7" w14:textId="7F18A05A" w:rsidR="00330A3B" w:rsidRPr="00D779B0" w:rsidRDefault="006D29A5" w:rsidP="00864575">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 xml:space="preserve">Измени на Анекс VIII (Дел-DTO) </w:t>
      </w:r>
      <w:r w:rsidR="00D45155">
        <w:rPr>
          <w:rFonts w:ascii="Times New Roman" w:hAnsi="Times New Roman" w:cs="Times New Roman"/>
          <w:b/>
          <w:color w:val="000000"/>
          <w:sz w:val="24"/>
          <w:szCs w:val="24"/>
        </w:rPr>
        <w:t>кон Регулативата</w:t>
      </w:r>
      <w:r w:rsidRPr="00D779B0">
        <w:rPr>
          <w:rFonts w:ascii="Times New Roman" w:hAnsi="Times New Roman" w:cs="Times New Roman"/>
          <w:b/>
          <w:color w:val="000000"/>
          <w:sz w:val="24"/>
          <w:szCs w:val="24"/>
        </w:rPr>
        <w:t xml:space="preserve"> (ЕУ) бр. 1178/2011</w:t>
      </w:r>
    </w:p>
    <w:p w14:paraId="2F3BA165"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Во Анекс VIII, точка DTO.GEN.135 се заменува со следново:</w:t>
      </w:r>
    </w:p>
    <w:p w14:paraId="1DAB5B09" w14:textId="62A08B5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b/>
          <w:bCs/>
          <w:color w:val="000000"/>
          <w:sz w:val="24"/>
          <w:szCs w:val="24"/>
        </w:rPr>
        <w:t>„DTO.GEN.135</w:t>
      </w:r>
      <w:r w:rsidRPr="00D779B0">
        <w:rPr>
          <w:rFonts w:ascii="Times New Roman" w:hAnsi="Times New Roman" w:cs="Times New Roman"/>
          <w:b/>
          <w:bCs/>
          <w:color w:val="000000"/>
          <w:sz w:val="24"/>
          <w:szCs w:val="24"/>
        </w:rPr>
        <w:tab/>
        <w:t>Престанок на правото за спроведување на обука</w:t>
      </w:r>
    </w:p>
    <w:p w14:paraId="51D03CB7" w14:textId="2A50B0C6"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DTO нема повеќе да има право да обезбеди дел или целата обука наведена во нејзината пријава врз основа на таа пријава, кога се случува едно од следново:</w:t>
      </w:r>
    </w:p>
    <w:p w14:paraId="3CB60728" w14:textId="649F187F"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DTO го известила надлежниот орган за престанок на некои или сите активности за обука опфатени со пријавата во согласност со точка DTO.GEN.116(б);</w:t>
      </w:r>
    </w:p>
    <w:p w14:paraId="2E3D58BB" w14:textId="0FF9D00C"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 ДТО не ја спроведува обуката повеќе од 36 последователни месеци.</w:t>
      </w:r>
    </w:p>
    <w:p w14:paraId="0281D78D" w14:textId="3EF12292"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DTO ги враќа уверенијата за одобрение во согласност со точка DTO.GEN.230(в) на надлежниот орган без одлагање:</w:t>
      </w:r>
    </w:p>
    <w:p w14:paraId="4A36F8FD" w14:textId="6ECC9015"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004B53AD">
        <w:rPr>
          <w:rFonts w:ascii="Times New Roman" w:hAnsi="Times New Roman" w:cs="Times New Roman"/>
          <w:color w:val="000000"/>
          <w:sz w:val="24"/>
          <w:szCs w:val="24"/>
        </w:rPr>
        <w:tab/>
      </w:r>
      <w:r w:rsidRPr="00D779B0">
        <w:rPr>
          <w:rFonts w:ascii="Times New Roman" w:hAnsi="Times New Roman" w:cs="Times New Roman"/>
          <w:color w:val="000000"/>
          <w:sz w:val="24"/>
          <w:szCs w:val="24"/>
        </w:rPr>
        <w:t>во случај на престанок на активностите за обука во согласност со точка (а);</w:t>
      </w:r>
    </w:p>
    <w:p w14:paraId="39FAE7AA" w14:textId="4BF634FE"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во случај на одземање во согласност со точка ARA.GEN.350(га)(3) од Анекс VI (Дел-АРА).“.</w:t>
      </w:r>
    </w:p>
    <w:p w14:paraId="585233F7" w14:textId="77777777" w:rsidR="00864575" w:rsidRPr="00D779B0" w:rsidRDefault="00864575" w:rsidP="00864575">
      <w:pPr>
        <w:widowControl/>
        <w:autoSpaceDE/>
        <w:autoSpaceDN/>
        <w:adjustRightInd/>
        <w:spacing w:after="160" w:line="259" w:lineRule="auto"/>
        <w:jc w:val="both"/>
        <w:rPr>
          <w:rFonts w:ascii="Times New Roman" w:hAnsi="Times New Roman" w:cs="Times New Roman"/>
          <w:color w:val="000000"/>
          <w:sz w:val="24"/>
          <w:szCs w:val="24"/>
        </w:rPr>
      </w:pPr>
      <w:r w:rsidRPr="00D779B0">
        <w:rPr>
          <w:rFonts w:ascii="Times New Roman" w:hAnsi="Times New Roman" w:cs="Times New Roman"/>
          <w:sz w:val="24"/>
          <w:szCs w:val="24"/>
        </w:rPr>
        <w:br w:type="page"/>
      </w:r>
    </w:p>
    <w:p w14:paraId="699648DC" w14:textId="7D8AFE7E" w:rsidR="00330A3B" w:rsidRPr="00D779B0" w:rsidRDefault="006D29A5" w:rsidP="00864575">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lastRenderedPageBreak/>
        <w:t>АНЕКС VI</w:t>
      </w:r>
    </w:p>
    <w:p w14:paraId="45761389" w14:textId="38C06B58" w:rsidR="00330A3B" w:rsidRPr="00D779B0" w:rsidRDefault="006D29A5" w:rsidP="00864575">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 xml:space="preserve">Измени на Анекс III (Дел-ORO) </w:t>
      </w:r>
      <w:r w:rsidR="00D45155">
        <w:rPr>
          <w:rFonts w:ascii="Times New Roman" w:hAnsi="Times New Roman" w:cs="Times New Roman"/>
          <w:b/>
          <w:color w:val="000000"/>
          <w:sz w:val="24"/>
          <w:szCs w:val="24"/>
        </w:rPr>
        <w:t>кон Регулативата</w:t>
      </w:r>
      <w:r w:rsidRPr="00D779B0">
        <w:rPr>
          <w:rFonts w:ascii="Times New Roman" w:hAnsi="Times New Roman" w:cs="Times New Roman"/>
          <w:b/>
          <w:color w:val="000000"/>
          <w:sz w:val="24"/>
          <w:szCs w:val="24"/>
        </w:rPr>
        <w:t xml:space="preserve"> (ЕУ) бр. 965/2012</w:t>
      </w:r>
    </w:p>
    <w:p w14:paraId="5DD85306"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Во точката ORO.FC.A.201(б)(2) од Анекс III, точка (iii) се заменува со следново:</w:t>
      </w:r>
    </w:p>
    <w:p w14:paraId="4EF5E85E" w14:textId="3EB46F14"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„(iii)</w:t>
      </w:r>
      <w:r w:rsidRPr="00D779B0">
        <w:rPr>
          <w:rFonts w:ascii="Times New Roman" w:hAnsi="Times New Roman" w:cs="Times New Roman"/>
          <w:color w:val="000000"/>
          <w:sz w:val="24"/>
          <w:szCs w:val="24"/>
        </w:rPr>
        <w:tab/>
        <w:t>периодична обука и проверка во согласност со точка ORO.FC.230, под следниве услови:</w:t>
      </w:r>
    </w:p>
    <w:p w14:paraId="4AE03A29" w14:textId="5D8F731D"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(А)</w:t>
      </w:r>
      <w:r w:rsidRPr="00D779B0">
        <w:rPr>
          <w:rFonts w:ascii="Times New Roman" w:hAnsi="Times New Roman" w:cs="Times New Roman"/>
          <w:color w:val="000000"/>
          <w:sz w:val="24"/>
          <w:szCs w:val="24"/>
        </w:rPr>
        <w:tab/>
        <w:t>проверката не вклучува маневри за полетување;</w:t>
      </w:r>
    </w:p>
    <w:p w14:paraId="172412D6" w14:textId="48E2D03B"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(Б)</w:t>
      </w:r>
      <w:r w:rsidRPr="00D779B0">
        <w:rPr>
          <w:rFonts w:ascii="Times New Roman" w:hAnsi="Times New Roman" w:cs="Times New Roman"/>
          <w:color w:val="000000"/>
          <w:sz w:val="24"/>
          <w:szCs w:val="24"/>
        </w:rPr>
        <w:tab/>
        <w:t xml:space="preserve">проверката вклучува маневри за слетување </w:t>
      </w:r>
      <w:r w:rsidR="00D33DE6">
        <w:rPr>
          <w:rFonts w:ascii="Times New Roman" w:hAnsi="Times New Roman" w:cs="Times New Roman"/>
          <w:color w:val="000000"/>
          <w:sz w:val="24"/>
          <w:szCs w:val="24"/>
        </w:rPr>
        <w:t>најмалку</w:t>
      </w:r>
      <w:r w:rsidRPr="00D779B0">
        <w:rPr>
          <w:rFonts w:ascii="Times New Roman" w:hAnsi="Times New Roman" w:cs="Times New Roman"/>
          <w:color w:val="000000"/>
          <w:sz w:val="24"/>
          <w:szCs w:val="24"/>
        </w:rPr>
        <w:t xml:space="preserve"> во својство на пилот кој надгледува;“.</w:t>
      </w:r>
    </w:p>
    <w:p w14:paraId="77649089" w14:textId="77777777" w:rsidR="00864575" w:rsidRPr="00D779B0" w:rsidRDefault="00864575" w:rsidP="00864575">
      <w:pPr>
        <w:widowControl/>
        <w:autoSpaceDE/>
        <w:autoSpaceDN/>
        <w:adjustRightInd/>
        <w:spacing w:after="160" w:line="259" w:lineRule="auto"/>
        <w:jc w:val="both"/>
        <w:rPr>
          <w:rFonts w:ascii="Times New Roman" w:hAnsi="Times New Roman" w:cs="Times New Roman"/>
          <w:color w:val="000000"/>
          <w:sz w:val="24"/>
          <w:szCs w:val="24"/>
        </w:rPr>
      </w:pPr>
      <w:r w:rsidRPr="00D779B0">
        <w:rPr>
          <w:rFonts w:ascii="Times New Roman" w:hAnsi="Times New Roman" w:cs="Times New Roman"/>
          <w:sz w:val="24"/>
          <w:szCs w:val="24"/>
        </w:rPr>
        <w:br w:type="page"/>
      </w:r>
    </w:p>
    <w:p w14:paraId="5DF34A59" w14:textId="64A05EDF" w:rsidR="00330A3B" w:rsidRPr="00D779B0" w:rsidRDefault="006D29A5" w:rsidP="00864575">
      <w:pPr>
        <w:shd w:val="clear" w:color="auto" w:fill="FFFFFF"/>
        <w:spacing w:before="120" w:after="120"/>
        <w:jc w:val="center"/>
        <w:rPr>
          <w:rFonts w:ascii="Times New Roman" w:hAnsi="Times New Roman" w:cs="Times New Roman"/>
          <w:i/>
          <w:iCs/>
          <w:sz w:val="24"/>
          <w:szCs w:val="24"/>
        </w:rPr>
      </w:pPr>
      <w:r w:rsidRPr="00D779B0">
        <w:rPr>
          <w:rFonts w:ascii="Times New Roman" w:hAnsi="Times New Roman" w:cs="Times New Roman"/>
          <w:i/>
          <w:color w:val="000000"/>
          <w:sz w:val="24"/>
          <w:szCs w:val="24"/>
        </w:rPr>
        <w:lastRenderedPageBreak/>
        <w:t>АНЕКС VII</w:t>
      </w:r>
    </w:p>
    <w:p w14:paraId="5978116C" w14:textId="405B494A" w:rsidR="00330A3B" w:rsidRPr="00D779B0" w:rsidRDefault="006D29A5" w:rsidP="00864575">
      <w:pPr>
        <w:shd w:val="clear" w:color="auto" w:fill="FFFFFF"/>
        <w:spacing w:before="120" w:after="120"/>
        <w:jc w:val="center"/>
        <w:rPr>
          <w:rFonts w:ascii="Times New Roman" w:hAnsi="Times New Roman" w:cs="Times New Roman"/>
          <w:sz w:val="24"/>
          <w:szCs w:val="24"/>
        </w:rPr>
      </w:pPr>
      <w:r w:rsidRPr="00D779B0">
        <w:rPr>
          <w:rFonts w:ascii="Times New Roman" w:hAnsi="Times New Roman" w:cs="Times New Roman"/>
          <w:b/>
          <w:color w:val="000000"/>
          <w:sz w:val="24"/>
          <w:szCs w:val="24"/>
        </w:rPr>
        <w:t xml:space="preserve">Измени на Анекс V (Дел-SPA) </w:t>
      </w:r>
      <w:r w:rsidR="00D45155">
        <w:rPr>
          <w:rFonts w:ascii="Times New Roman" w:hAnsi="Times New Roman" w:cs="Times New Roman"/>
          <w:b/>
          <w:color w:val="000000"/>
          <w:sz w:val="24"/>
          <w:szCs w:val="24"/>
        </w:rPr>
        <w:t>кон Регулативата</w:t>
      </w:r>
      <w:r w:rsidRPr="00D779B0">
        <w:rPr>
          <w:rFonts w:ascii="Times New Roman" w:hAnsi="Times New Roman" w:cs="Times New Roman"/>
          <w:b/>
          <w:color w:val="000000"/>
          <w:sz w:val="24"/>
          <w:szCs w:val="24"/>
        </w:rPr>
        <w:t xml:space="preserve"> (ЕУ) бр. 965/2012</w:t>
      </w:r>
    </w:p>
    <w:p w14:paraId="6E4134F2" w14:textId="77777777"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Во точка SPA.HEMS.130 од Анекс V, се додава следнава точка (е):</w:t>
      </w:r>
    </w:p>
    <w:p w14:paraId="56992A83" w14:textId="09177E44" w:rsidR="00330A3B" w:rsidRPr="00D779B0" w:rsidRDefault="006D29A5" w:rsidP="00E80582">
      <w:pPr>
        <w:shd w:val="clear" w:color="auto" w:fill="FFFFFF"/>
        <w:spacing w:before="120" w:after="120"/>
        <w:jc w:val="both"/>
        <w:rPr>
          <w:rFonts w:ascii="Times New Roman" w:hAnsi="Times New Roman" w:cs="Times New Roman"/>
          <w:i/>
          <w:iCs/>
          <w:sz w:val="24"/>
          <w:szCs w:val="24"/>
        </w:rPr>
      </w:pPr>
      <w:r w:rsidRPr="00D779B0">
        <w:rPr>
          <w:rFonts w:ascii="Times New Roman" w:hAnsi="Times New Roman" w:cs="Times New Roman"/>
          <w:i/>
          <w:color w:val="000000"/>
          <w:sz w:val="24"/>
          <w:szCs w:val="24"/>
        </w:rPr>
        <w:t>„(е)</w:t>
      </w:r>
      <w:r w:rsidRPr="00D779B0">
        <w:rPr>
          <w:rFonts w:ascii="Times New Roman" w:hAnsi="Times New Roman" w:cs="Times New Roman"/>
          <w:i/>
          <w:color w:val="000000"/>
          <w:sz w:val="24"/>
          <w:szCs w:val="24"/>
        </w:rPr>
        <w:tab/>
        <w:t xml:space="preserve">Членови на екипаж на летање кои наполниле 60 години и кои вршат операции на HEMS со само еден пилот во согласност со точка FCL.065(а) од Анекс I (Дел-FCL) </w:t>
      </w:r>
      <w:r w:rsidR="00D45155">
        <w:rPr>
          <w:rFonts w:ascii="Times New Roman" w:hAnsi="Times New Roman" w:cs="Times New Roman"/>
          <w:i/>
          <w:color w:val="000000"/>
          <w:sz w:val="24"/>
          <w:szCs w:val="24"/>
        </w:rPr>
        <w:t>кон Регулативата</w:t>
      </w:r>
      <w:r w:rsidRPr="00D779B0">
        <w:rPr>
          <w:rFonts w:ascii="Times New Roman" w:hAnsi="Times New Roman" w:cs="Times New Roman"/>
          <w:i/>
          <w:color w:val="000000"/>
          <w:sz w:val="24"/>
          <w:szCs w:val="24"/>
        </w:rPr>
        <w:t xml:space="preserve"> (ЕУ) бр. 1178/2011</w:t>
      </w:r>
    </w:p>
    <w:p w14:paraId="4D00D482" w14:textId="588BB7AA" w:rsidR="00330A3B" w:rsidRPr="00D779B0" w:rsidRDefault="006D29A5" w:rsidP="00E80582">
      <w:pPr>
        <w:shd w:val="clear" w:color="auto" w:fill="FFFFFF"/>
        <w:spacing w:before="120" w:after="120"/>
        <w:jc w:val="both"/>
        <w:rPr>
          <w:rFonts w:ascii="Times New Roman" w:hAnsi="Times New Roman" w:cs="Times New Roman"/>
          <w:sz w:val="24"/>
          <w:szCs w:val="24"/>
        </w:rPr>
      </w:pPr>
      <w:r w:rsidRPr="00D779B0">
        <w:rPr>
          <w:rFonts w:ascii="Times New Roman" w:hAnsi="Times New Roman" w:cs="Times New Roman"/>
          <w:color w:val="000000"/>
          <w:sz w:val="24"/>
          <w:szCs w:val="24"/>
        </w:rPr>
        <w:t>(1)</w:t>
      </w:r>
      <w:r w:rsidRPr="00D779B0">
        <w:rPr>
          <w:rFonts w:ascii="Times New Roman" w:hAnsi="Times New Roman" w:cs="Times New Roman"/>
          <w:color w:val="000000"/>
          <w:sz w:val="24"/>
          <w:szCs w:val="24"/>
        </w:rPr>
        <w:tab/>
        <w:t xml:space="preserve">За членовите на екипажот на летање кои наполниле 60 години и кои вршат операции на HEMS со само еден пилот во согласност со точка FCL.065(а) од Анекс I (Дел-FCL) </w:t>
      </w:r>
      <w:r w:rsidR="00D45155">
        <w:rPr>
          <w:rFonts w:ascii="Times New Roman" w:hAnsi="Times New Roman" w:cs="Times New Roman"/>
          <w:color w:val="000000"/>
          <w:sz w:val="24"/>
          <w:szCs w:val="24"/>
        </w:rPr>
        <w:t>кон Регулативата</w:t>
      </w:r>
      <w:r w:rsidRPr="00D779B0">
        <w:rPr>
          <w:rFonts w:ascii="Times New Roman" w:hAnsi="Times New Roman" w:cs="Times New Roman"/>
          <w:color w:val="000000"/>
          <w:sz w:val="24"/>
          <w:szCs w:val="24"/>
        </w:rPr>
        <w:t xml:space="preserve"> (ЕУ) бр. 1178/2011, операторот го зема предвид при својата процена на ризикот извршена во согласност со ORO.GEN.200 зголемувањето на ризикот од онеспособност поради кардиоваскуларни и цереброваскуларни фактори поврзани со оперативните околности.</w:t>
      </w:r>
    </w:p>
    <w:p w14:paraId="44E6EA48" w14:textId="042B50F6" w:rsidR="001113F4" w:rsidRPr="001113F4" w:rsidRDefault="006D29A5" w:rsidP="001113F4">
      <w:pPr>
        <w:shd w:val="clear" w:color="auto" w:fill="FFFFFF"/>
        <w:spacing w:before="120" w:after="120"/>
        <w:jc w:val="both"/>
        <w:rPr>
          <w:rFonts w:ascii="Times New Roman" w:hAnsi="Times New Roman" w:cs="Times New Roman"/>
          <w:color w:val="000000"/>
          <w:sz w:val="24"/>
          <w:szCs w:val="24"/>
        </w:rPr>
      </w:pPr>
      <w:r w:rsidRPr="00D779B0">
        <w:rPr>
          <w:rFonts w:ascii="Times New Roman" w:hAnsi="Times New Roman" w:cs="Times New Roman"/>
          <w:color w:val="000000"/>
          <w:sz w:val="24"/>
          <w:szCs w:val="24"/>
        </w:rPr>
        <w:t>(2)</w:t>
      </w:r>
      <w:r w:rsidRPr="00D779B0">
        <w:rPr>
          <w:rFonts w:ascii="Times New Roman" w:hAnsi="Times New Roman" w:cs="Times New Roman"/>
          <w:color w:val="000000"/>
          <w:sz w:val="24"/>
          <w:szCs w:val="24"/>
        </w:rPr>
        <w:tab/>
        <w:t>Обуката и проверката на членовите на екипажот на летање наведени во точка (1) ја спроведува персонал кој завршил соодветна обука за да им помогне да откријат мало намалување на когнитивните способности и да побараат процена на здравствената способност на членот на екипажот каде што е потребно.“.</w:t>
      </w:r>
      <w:bookmarkStart w:id="9" w:name="_GoBack"/>
      <w:bookmarkEnd w:id="9"/>
    </w:p>
    <w:sectPr w:rsidR="001113F4" w:rsidRPr="001113F4" w:rsidSect="00E80582">
      <w:footnotePr>
        <w:numRestart w:val="eachPage"/>
      </w:footnotePr>
      <w:type w:val="continuous"/>
      <w:pgSz w:w="11904" w:h="16838"/>
      <w:pgMar w:top="1440" w:right="1797" w:bottom="1440" w:left="17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F918F" w14:textId="77777777" w:rsidR="00E73A98" w:rsidRDefault="00E73A98" w:rsidP="00B97D2C">
      <w:r>
        <w:separator/>
      </w:r>
    </w:p>
  </w:endnote>
  <w:endnote w:type="continuationSeparator" w:id="0">
    <w:p w14:paraId="58F74A1D" w14:textId="77777777" w:rsidR="00E73A98" w:rsidRDefault="00E73A98" w:rsidP="00B9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37439" w14:textId="77777777" w:rsidR="00E73A98" w:rsidRDefault="00E73A98" w:rsidP="00B97D2C">
      <w:r>
        <w:separator/>
      </w:r>
    </w:p>
  </w:footnote>
  <w:footnote w:type="continuationSeparator" w:id="0">
    <w:p w14:paraId="744494CE" w14:textId="77777777" w:rsidR="00E73A98" w:rsidRDefault="00E73A98" w:rsidP="00B97D2C">
      <w:r>
        <w:continuationSeparator/>
      </w:r>
    </w:p>
  </w:footnote>
  <w:footnote w:id="1">
    <w:p w14:paraId="375FE0E2" w14:textId="0311C755" w:rsidR="00B97D2C" w:rsidRPr="00D779B0" w:rsidRDefault="00B97D2C" w:rsidP="00B06CDA">
      <w:pPr>
        <w:pStyle w:val="FootnoteText"/>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 xml:space="preserve">) </w:t>
      </w:r>
      <w:hyperlink r:id="rId1" w:history="1">
        <w:r w:rsidR="00C74D50">
          <w:rPr>
            <w:rStyle w:val="Hyperlink"/>
            <w:rFonts w:ascii="Times New Roman" w:hAnsi="Times New Roman" w:cs="Times New Roman"/>
            <w:color w:val="auto"/>
            <w:u w:val="none"/>
          </w:rPr>
          <w:t>Сл. весник</w:t>
        </w:r>
        <w:r w:rsidRPr="00D779B0">
          <w:rPr>
            <w:rStyle w:val="Hyperlink"/>
            <w:rFonts w:ascii="Times New Roman" w:hAnsi="Times New Roman" w:cs="Times New Roman"/>
            <w:color w:val="auto"/>
            <w:u w:val="none"/>
          </w:rPr>
          <w:t xml:space="preserve"> L 212, 22.8.2018 година, стр. 1,</w:t>
        </w:r>
      </w:hyperlink>
      <w:r w:rsidRPr="00D779B0">
        <w:rPr>
          <w:rFonts w:ascii="Times New Roman" w:hAnsi="Times New Roman" w:cs="Times New Roman"/>
        </w:rPr>
        <w:t xml:space="preserve"> ELI: </w:t>
      </w:r>
      <w:hyperlink r:id="rId2" w:history="1">
        <w:r w:rsidRPr="00D779B0">
          <w:rPr>
            <w:rStyle w:val="Hyperlink"/>
            <w:rFonts w:ascii="Times New Roman" w:hAnsi="Times New Roman" w:cs="Times New Roman"/>
            <w:color w:val="auto"/>
            <w:u w:val="none"/>
          </w:rPr>
          <w:t>http://data.europa.eu/eli/reg/2018/1139/oj.</w:t>
        </w:r>
      </w:hyperlink>
    </w:p>
  </w:footnote>
  <w:footnote w:id="2">
    <w:p w14:paraId="6C750107" w14:textId="5C18C1CC" w:rsidR="00B97D2C" w:rsidRPr="00D779B0" w:rsidRDefault="00B97D2C" w:rsidP="00B06CDA">
      <w:pPr>
        <w:pStyle w:val="FootnoteText"/>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 Регулатива (ЕУ) бр. 1178/2011 на Комисијата од 3 ноември 2011 година за утврдување на техничките услови и административните постапки поврзани со екипажите на воздухоплови во цивилното воздухопловство во согласност со Регулативата (ЕЗ) бр. 216/2008 на Европскиот парламент и на Советот (</w:t>
      </w:r>
      <w:hyperlink r:id="rId3" w:history="1">
        <w:r w:rsidR="00C74D50">
          <w:rPr>
            <w:rStyle w:val="Hyperlink"/>
            <w:rFonts w:ascii="Times New Roman" w:hAnsi="Times New Roman" w:cs="Times New Roman"/>
            <w:color w:val="auto"/>
            <w:u w:val="none"/>
          </w:rPr>
          <w:t>Сл. весник</w:t>
        </w:r>
        <w:r w:rsidRPr="00D779B0">
          <w:rPr>
            <w:rStyle w:val="Hyperlink"/>
            <w:rFonts w:ascii="Times New Roman" w:hAnsi="Times New Roman" w:cs="Times New Roman"/>
            <w:color w:val="auto"/>
            <w:u w:val="none"/>
          </w:rPr>
          <w:t xml:space="preserve"> L 311,</w:t>
        </w:r>
      </w:hyperlink>
      <w:r w:rsidRPr="00D779B0">
        <w:rPr>
          <w:rFonts w:ascii="Times New Roman" w:hAnsi="Times New Roman" w:cs="Times New Roman"/>
        </w:rPr>
        <w:t xml:space="preserve"> </w:t>
      </w:r>
      <w:hyperlink r:id="rId4" w:history="1">
        <w:r w:rsidRPr="00D779B0">
          <w:rPr>
            <w:rStyle w:val="Hyperlink"/>
            <w:rFonts w:ascii="Times New Roman" w:hAnsi="Times New Roman" w:cs="Times New Roman"/>
            <w:color w:val="auto"/>
            <w:u w:val="none"/>
          </w:rPr>
          <w:t>25.11.2011 година, стр. 1,</w:t>
        </w:r>
      </w:hyperlink>
      <w:r w:rsidRPr="00D779B0">
        <w:rPr>
          <w:rFonts w:ascii="Times New Roman" w:hAnsi="Times New Roman" w:cs="Times New Roman"/>
        </w:rPr>
        <w:t xml:space="preserve"> ELI: </w:t>
      </w:r>
      <w:hyperlink r:id="rId5" w:history="1">
        <w:r w:rsidRPr="00D779B0">
          <w:rPr>
            <w:rStyle w:val="Hyperlink"/>
            <w:rFonts w:ascii="Times New Roman" w:hAnsi="Times New Roman" w:cs="Times New Roman"/>
            <w:color w:val="auto"/>
            <w:u w:val="none"/>
          </w:rPr>
          <w:t>http://data.europa.eu/eli/reg/2011/1178/oj).</w:t>
        </w:r>
      </w:hyperlink>
    </w:p>
  </w:footnote>
  <w:footnote w:id="3">
    <w:p w14:paraId="594B4AB4" w14:textId="3CCF989C" w:rsidR="00B97D2C" w:rsidRPr="00D779B0" w:rsidRDefault="00B97D2C" w:rsidP="00B06CDA">
      <w:pPr>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 Регулатива (ЕУ) бр. 965/2012 на Комисијата од 5 октомври 2012 година за утврдување на техничките услови и административните постапки во врска со воздушните операции во согласност со Регулатива (ЕЗ) бр. 216/2008 на Европскиот парламент и на Советот (</w:t>
      </w:r>
      <w:hyperlink r:id="rId6" w:history="1">
        <w:r w:rsidR="00C74D50">
          <w:rPr>
            <w:rStyle w:val="Hyperlink"/>
            <w:rFonts w:ascii="Times New Roman" w:hAnsi="Times New Roman" w:cs="Times New Roman"/>
            <w:color w:val="auto"/>
            <w:u w:val="none"/>
          </w:rPr>
          <w:t>Сл. весник</w:t>
        </w:r>
        <w:r w:rsidRPr="00D779B0">
          <w:rPr>
            <w:rStyle w:val="Hyperlink"/>
            <w:rFonts w:ascii="Times New Roman" w:hAnsi="Times New Roman" w:cs="Times New Roman"/>
            <w:color w:val="auto"/>
            <w:u w:val="none"/>
          </w:rPr>
          <w:t xml:space="preserve"> L 296,</w:t>
        </w:r>
      </w:hyperlink>
      <w:r w:rsidRPr="00D779B0">
        <w:rPr>
          <w:rFonts w:ascii="Times New Roman" w:hAnsi="Times New Roman" w:cs="Times New Roman"/>
        </w:rPr>
        <w:t xml:space="preserve"> </w:t>
      </w:r>
      <w:hyperlink r:id="rId7" w:history="1">
        <w:r w:rsidRPr="00D779B0">
          <w:rPr>
            <w:rStyle w:val="Hyperlink"/>
            <w:rFonts w:ascii="Times New Roman" w:hAnsi="Times New Roman" w:cs="Times New Roman"/>
            <w:color w:val="auto"/>
            <w:u w:val="none"/>
          </w:rPr>
          <w:t>25.10.2012 година, стр. 1,</w:t>
        </w:r>
      </w:hyperlink>
      <w:r w:rsidRPr="00D779B0">
        <w:rPr>
          <w:rFonts w:ascii="Times New Roman" w:hAnsi="Times New Roman" w:cs="Times New Roman"/>
        </w:rPr>
        <w:t xml:space="preserve"> ELI: </w:t>
      </w:r>
      <w:hyperlink r:id="rId8" w:history="1">
        <w:r w:rsidRPr="00D779B0">
          <w:rPr>
            <w:rStyle w:val="Hyperlink"/>
            <w:rFonts w:ascii="Times New Roman" w:hAnsi="Times New Roman" w:cs="Times New Roman"/>
            <w:color w:val="auto"/>
            <w:u w:val="none"/>
          </w:rPr>
          <w:t>http://data.europa.eu/eli/reg/2012/965/oj).</w:t>
        </w:r>
      </w:hyperlink>
    </w:p>
  </w:footnote>
  <w:footnote w:id="4">
    <w:p w14:paraId="09553304" w14:textId="031E7FED" w:rsidR="00B97D2C" w:rsidRPr="00D779B0" w:rsidRDefault="00B97D2C" w:rsidP="00B06CDA">
      <w:pPr>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 Регулатива (ЕЗ) бр. 216/2008 на Европскиот парламент и на Советот од 20 февруари 2008 година за заеднички правила во областа на цивилното воздухопловство и за основање Европска агенција за безбедност во воздухопловството и за укинување на Директивата 91/670/ЕЕЗ на Советот, Регулативата (ЕЗ) бр. 1592/2002 и Директивата 2004/36/ЕЗ (</w:t>
      </w:r>
      <w:r w:rsidR="00C74D50">
        <w:rPr>
          <w:rFonts w:ascii="Times New Roman" w:hAnsi="Times New Roman" w:cs="Times New Roman"/>
        </w:rPr>
        <w:t>Сл. весник</w:t>
      </w:r>
      <w:r w:rsidRPr="00D779B0">
        <w:rPr>
          <w:rFonts w:ascii="Times New Roman" w:hAnsi="Times New Roman" w:cs="Times New Roman"/>
        </w:rPr>
        <w:t xml:space="preserve"> L 79, 19.3.2008 година, стр. 1, ELI: </w:t>
      </w:r>
      <w:hyperlink r:id="rId9" w:history="1">
        <w:r w:rsidRPr="00D779B0">
          <w:rPr>
            <w:rStyle w:val="Hyperlink"/>
            <w:rFonts w:ascii="Times New Roman" w:hAnsi="Times New Roman" w:cs="Times New Roman"/>
            <w:color w:val="auto"/>
            <w:u w:val="none"/>
          </w:rPr>
          <w:t>http://data.europa.eu/eli/reg/2008/216/oj</w:t>
        </w:r>
      </w:hyperlink>
      <w:r w:rsidRPr="00D779B0">
        <w:rPr>
          <w:rFonts w:ascii="Times New Roman" w:hAnsi="Times New Roman" w:cs="Times New Roman"/>
        </w:rPr>
        <w:t>).</w:t>
      </w:r>
    </w:p>
  </w:footnote>
  <w:footnote w:id="5">
    <w:p w14:paraId="3F266384" w14:textId="0390FB76" w:rsidR="006D31BA" w:rsidRPr="00D779B0" w:rsidRDefault="006D31BA" w:rsidP="00B06CDA">
      <w:pPr>
        <w:pStyle w:val="FootnoteText"/>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w:t>
      </w:r>
      <w:r w:rsidR="003816B5">
        <w:rPr>
          <w:rFonts w:ascii="Times New Roman" w:hAnsi="Times New Roman" w:cs="Times New Roman"/>
        </w:rPr>
        <w:t xml:space="preserve"> Се брише </w:t>
      </w:r>
      <w:r w:rsidRPr="00D779B0">
        <w:rPr>
          <w:rFonts w:ascii="Times New Roman" w:hAnsi="Times New Roman" w:cs="Times New Roman"/>
        </w:rPr>
        <w:t>„Европска Унија“ за земјите кои не се членки на ЕУ или ЕАСА.</w:t>
      </w:r>
    </w:p>
  </w:footnote>
  <w:footnote w:id="6">
    <w:p w14:paraId="3E5D0988" w14:textId="01584E2F" w:rsidR="006D31BA" w:rsidRPr="00D779B0" w:rsidRDefault="006D31BA" w:rsidP="00B06CDA">
      <w:pPr>
        <w:pStyle w:val="FootnoteText"/>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 Упатувањето на Регулативата (ЕУ) бр. 1178/2011 или Регулативата (ЕУ) 2015/340 се изменува според опсегот на уверението.</w:t>
      </w:r>
    </w:p>
  </w:footnote>
  <w:footnote w:id="7">
    <w:p w14:paraId="36C3D509" w14:textId="58AD5133" w:rsidR="006D31BA" w:rsidRPr="00D779B0" w:rsidRDefault="006D31BA" w:rsidP="00B06CDA">
      <w:pPr>
        <w:pStyle w:val="FootnoteText"/>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 Овој прилог може да се издаде како дел од уверението за AeMC или како посебен документ.</w:t>
      </w:r>
    </w:p>
  </w:footnote>
  <w:footnote w:id="8">
    <w:p w14:paraId="114EBB5B" w14:textId="6C0B8FFE" w:rsidR="00B06CDA" w:rsidRPr="00D779B0" w:rsidRDefault="00B06CDA" w:rsidP="00B06CDA">
      <w:pPr>
        <w:pStyle w:val="FootnoteText"/>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 xml:space="preserve">) </w:t>
      </w:r>
      <w:r w:rsidR="003816B5">
        <w:rPr>
          <w:rFonts w:ascii="Times New Roman" w:hAnsi="Times New Roman" w:cs="Times New Roman"/>
        </w:rPr>
        <w:t xml:space="preserve">Се брише </w:t>
      </w:r>
      <w:r w:rsidRPr="00D779B0">
        <w:rPr>
          <w:rFonts w:ascii="Times New Roman" w:hAnsi="Times New Roman" w:cs="Times New Roman"/>
        </w:rPr>
        <w:t>„Европска Унија“ за земјите кои не се членки на ЕУ.</w:t>
      </w:r>
    </w:p>
  </w:footnote>
  <w:footnote w:id="9">
    <w:p w14:paraId="4E9906CA" w14:textId="4E5D9588" w:rsidR="00B06CDA" w:rsidRPr="00D779B0" w:rsidRDefault="00B06CDA" w:rsidP="00B06CDA">
      <w:pPr>
        <w:pStyle w:val="FootnoteText"/>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 Упатувањето на Регулативата (ЕУ) бр. 1178/2011 или Регулативата (ЕУ) 2015/340 како и на Дел-MED и Дел ATCO.MED се изменува според опсегот на уверението.</w:t>
      </w:r>
    </w:p>
  </w:footnote>
  <w:footnote w:id="10">
    <w:p w14:paraId="4EF6E01B" w14:textId="2D9997BE" w:rsidR="00B06CDA" w:rsidRPr="00D779B0" w:rsidRDefault="00B06CDA" w:rsidP="00B06CDA">
      <w:pPr>
        <w:pStyle w:val="FootnoteText"/>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 Формат на датумот на истекување: ден/месец/година.</w:t>
      </w:r>
    </w:p>
  </w:footnote>
  <w:footnote w:id="11">
    <w:p w14:paraId="08F06891" w14:textId="059FC7C7" w:rsidR="00B06CDA" w:rsidRPr="00D779B0" w:rsidRDefault="00B06CDA" w:rsidP="00B06CDA">
      <w:pPr>
        <w:pStyle w:val="FootnoteText"/>
        <w:jc w:val="both"/>
        <w:rPr>
          <w:rFonts w:ascii="Times New Roman" w:hAnsi="Times New Roman" w:cs="Times New Roman"/>
        </w:rPr>
      </w:pPr>
      <w:r w:rsidRPr="00D779B0">
        <w:rPr>
          <w:rFonts w:ascii="Times New Roman" w:hAnsi="Times New Roman" w:cs="Times New Roman"/>
        </w:rPr>
        <w:t>(</w:t>
      </w:r>
      <w:r w:rsidRPr="00D779B0">
        <w:rPr>
          <w:rStyle w:val="FootnoteReference"/>
          <w:rFonts w:ascii="Times New Roman" w:hAnsi="Times New Roman" w:cs="Times New Roman"/>
        </w:rPr>
        <w:footnoteRef/>
      </w:r>
      <w:r w:rsidRPr="00D779B0">
        <w:rPr>
          <w:rFonts w:ascii="Times New Roman" w:hAnsi="Times New Roman" w:cs="Times New Roman"/>
        </w:rPr>
        <w:t>) Овој прилог може да се издаде како дел од уверението за AME или како посебен документ.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8564A"/>
    <w:multiLevelType w:val="hybridMultilevel"/>
    <w:tmpl w:val="0038D090"/>
    <w:lvl w:ilvl="0" w:tplc="9E54639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402886"/>
    <w:multiLevelType w:val="hybridMultilevel"/>
    <w:tmpl w:val="999A19AA"/>
    <w:lvl w:ilvl="0" w:tplc="0F2C752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94"/>
    <w:rsid w:val="0002435F"/>
    <w:rsid w:val="00063AA1"/>
    <w:rsid w:val="000A1C0B"/>
    <w:rsid w:val="000E016F"/>
    <w:rsid w:val="000F0165"/>
    <w:rsid w:val="001113F4"/>
    <w:rsid w:val="001B103A"/>
    <w:rsid w:val="001F1415"/>
    <w:rsid w:val="00330A3B"/>
    <w:rsid w:val="003816B5"/>
    <w:rsid w:val="00393A2B"/>
    <w:rsid w:val="004836C5"/>
    <w:rsid w:val="00483EDE"/>
    <w:rsid w:val="00486050"/>
    <w:rsid w:val="004B53AD"/>
    <w:rsid w:val="005D6804"/>
    <w:rsid w:val="00670C1E"/>
    <w:rsid w:val="0067289B"/>
    <w:rsid w:val="006D29A5"/>
    <w:rsid w:val="006D31BA"/>
    <w:rsid w:val="00864575"/>
    <w:rsid w:val="008D4A7B"/>
    <w:rsid w:val="00953EB1"/>
    <w:rsid w:val="00996BD9"/>
    <w:rsid w:val="00A23157"/>
    <w:rsid w:val="00AB0A6C"/>
    <w:rsid w:val="00B06CDA"/>
    <w:rsid w:val="00B13779"/>
    <w:rsid w:val="00B922AD"/>
    <w:rsid w:val="00B97D2C"/>
    <w:rsid w:val="00BA090F"/>
    <w:rsid w:val="00BE6C44"/>
    <w:rsid w:val="00C31894"/>
    <w:rsid w:val="00C728E8"/>
    <w:rsid w:val="00C74D50"/>
    <w:rsid w:val="00CA27DB"/>
    <w:rsid w:val="00CD69F2"/>
    <w:rsid w:val="00CF1257"/>
    <w:rsid w:val="00D33DE6"/>
    <w:rsid w:val="00D45155"/>
    <w:rsid w:val="00D60700"/>
    <w:rsid w:val="00D779B0"/>
    <w:rsid w:val="00E73A98"/>
    <w:rsid w:val="00E80582"/>
    <w:rsid w:val="00E959B3"/>
    <w:rsid w:val="00EB25FD"/>
    <w:rsid w:val="00F114D1"/>
    <w:rsid w:val="00F564C9"/>
    <w:rsid w:val="00FF5E9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95D34"/>
  <w14:defaultImageDpi w14:val="96"/>
  <w15:docId w15:val="{C92EA138-3BCD-4AD4-993B-76A8CAB6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mk-MK" w:eastAsia="mk-M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CDA"/>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D2C"/>
    <w:rPr>
      <w:color w:val="0563C1" w:themeColor="hyperlink"/>
      <w:u w:val="single"/>
    </w:rPr>
  </w:style>
  <w:style w:type="paragraph" w:styleId="FootnoteText">
    <w:name w:val="footnote text"/>
    <w:basedOn w:val="Normal"/>
    <w:link w:val="FootnoteTextChar"/>
    <w:uiPriority w:val="99"/>
    <w:semiHidden/>
    <w:unhideWhenUsed/>
    <w:rsid w:val="00B97D2C"/>
  </w:style>
  <w:style w:type="character" w:customStyle="1" w:styleId="FootnoteTextChar">
    <w:name w:val="Footnote Text Char"/>
    <w:basedOn w:val="DefaultParagraphFont"/>
    <w:link w:val="FootnoteText"/>
    <w:uiPriority w:val="99"/>
    <w:semiHidden/>
    <w:rsid w:val="00B97D2C"/>
    <w:rPr>
      <w:rFonts w:ascii="Arial" w:hAnsi="Arial" w:cs="Arial"/>
      <w:sz w:val="20"/>
      <w:szCs w:val="20"/>
    </w:rPr>
  </w:style>
  <w:style w:type="character" w:styleId="FootnoteReference">
    <w:name w:val="footnote reference"/>
    <w:basedOn w:val="DefaultParagraphFont"/>
    <w:uiPriority w:val="99"/>
    <w:semiHidden/>
    <w:unhideWhenUsed/>
    <w:rsid w:val="00B97D2C"/>
    <w:rPr>
      <w:vertAlign w:val="superscript"/>
    </w:rPr>
  </w:style>
  <w:style w:type="table" w:styleId="TableGrid">
    <w:name w:val="Table Grid"/>
    <w:basedOn w:val="TableNormal"/>
    <w:uiPriority w:val="39"/>
    <w:rsid w:val="00063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1BA"/>
    <w:pPr>
      <w:ind w:left="720"/>
      <w:contextualSpacing/>
    </w:pPr>
  </w:style>
  <w:style w:type="paragraph" w:styleId="Header">
    <w:name w:val="header"/>
    <w:basedOn w:val="Normal"/>
    <w:link w:val="HeaderChar"/>
    <w:uiPriority w:val="99"/>
    <w:unhideWhenUsed/>
    <w:rsid w:val="00670C1E"/>
    <w:pPr>
      <w:tabs>
        <w:tab w:val="center" w:pos="4513"/>
        <w:tab w:val="right" w:pos="9026"/>
      </w:tabs>
    </w:pPr>
  </w:style>
  <w:style w:type="character" w:customStyle="1" w:styleId="HeaderChar">
    <w:name w:val="Header Char"/>
    <w:basedOn w:val="DefaultParagraphFont"/>
    <w:link w:val="Header"/>
    <w:uiPriority w:val="99"/>
    <w:rsid w:val="00670C1E"/>
    <w:rPr>
      <w:rFonts w:ascii="Arial" w:hAnsi="Arial" w:cs="Arial"/>
      <w:sz w:val="20"/>
      <w:szCs w:val="20"/>
    </w:rPr>
  </w:style>
  <w:style w:type="paragraph" w:styleId="Footer">
    <w:name w:val="footer"/>
    <w:basedOn w:val="Normal"/>
    <w:link w:val="FooterChar"/>
    <w:uiPriority w:val="99"/>
    <w:unhideWhenUsed/>
    <w:rsid w:val="00670C1E"/>
    <w:pPr>
      <w:tabs>
        <w:tab w:val="center" w:pos="4513"/>
        <w:tab w:val="right" w:pos="9026"/>
      </w:tabs>
    </w:pPr>
  </w:style>
  <w:style w:type="character" w:customStyle="1" w:styleId="FooterChar">
    <w:name w:val="Footer Char"/>
    <w:basedOn w:val="DefaultParagraphFont"/>
    <w:link w:val="Footer"/>
    <w:uiPriority w:val="99"/>
    <w:rsid w:val="00670C1E"/>
    <w:rPr>
      <w:rFonts w:ascii="Arial" w:hAnsi="Arial" w:cs="Arial"/>
      <w:sz w:val="20"/>
      <w:szCs w:val="20"/>
    </w:rPr>
  </w:style>
  <w:style w:type="paragraph" w:styleId="BalloonText">
    <w:name w:val="Balloon Text"/>
    <w:basedOn w:val="Normal"/>
    <w:link w:val="BalloonTextChar"/>
    <w:uiPriority w:val="99"/>
    <w:semiHidden/>
    <w:unhideWhenUsed/>
    <w:rsid w:val="00B92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12/965/oj" TargetMode="External"/><Relationship Id="rId3" Type="http://schemas.openxmlformats.org/officeDocument/2006/relationships/hyperlink" Target="https://eur-lex.europa.eu/legal-content/EN/AUTO/?uri=OJ:L:2012:296:TOC" TargetMode="External"/><Relationship Id="rId7" Type="http://schemas.openxmlformats.org/officeDocument/2006/relationships/hyperlink" Target="https://eur-lex.europa.eu/legal-content/EN/AUTO/?uri=OJ:L:2012:296:TOC" TargetMode="External"/><Relationship Id="rId2" Type="http://schemas.openxmlformats.org/officeDocument/2006/relationships/hyperlink" Target="http://data.europa.eu/eli/reg/2018/1139/oj" TargetMode="External"/><Relationship Id="rId1" Type="http://schemas.openxmlformats.org/officeDocument/2006/relationships/hyperlink" Target="https://eur-lex.europa.eu/legal-content/EN/AUTO/?uri=OJ:L:2018:212:TOC" TargetMode="External"/><Relationship Id="rId6" Type="http://schemas.openxmlformats.org/officeDocument/2006/relationships/hyperlink" Target="https://eur-lex.europa.eu/legal-content/EN/AUTO/?uri=OJ:L:2012:296:TOC" TargetMode="External"/><Relationship Id="rId5" Type="http://schemas.openxmlformats.org/officeDocument/2006/relationships/hyperlink" Target="http://data.europa.eu/eli/reg/2011/1178/oj" TargetMode="External"/><Relationship Id="rId4" Type="http://schemas.openxmlformats.org/officeDocument/2006/relationships/hyperlink" Target="https://eur-lex.europa.eu/legal-content/EN/AUTO/?uri=OJ:L:2012:296:TOC" TargetMode="External"/><Relationship Id="rId9" Type="http://schemas.openxmlformats.org/officeDocument/2006/relationships/hyperlink" Target="http://data.europa.eu/eli/reg/2008/216/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74C8D-F2AD-4A5A-A9BD-9A452F17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16533</Words>
  <Characters>94240</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Интеркултура</dc:creator>
  <dc:description/>
  <cp:lastModifiedBy>Kristina Velevska</cp:lastModifiedBy>
  <cp:revision>3</cp:revision>
  <dcterms:created xsi:type="dcterms:W3CDTF">2025-03-05T10:17:00Z</dcterms:created>
  <dcterms:modified xsi:type="dcterms:W3CDTF">2025-03-05T10:18:00Z</dcterms:modified>
</cp:coreProperties>
</file>